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before="60" w:after="60"/>
      </w:pPr>
      <w:r>
        <w:rPr>
          <w:rFonts w:ascii="Times New Roman" w:hAnsi="Times New Roman" w:cs="Times New Roman"/>
          <w:sz w:val="24"/>
          <w:sz-cs w:val="24"/>
        </w:rPr>
        <w:t xml:space="preserve">ACC400 – Accounting for Decision Making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60" w:after="60"/>
      </w:pPr>
      <w:r>
        <w:rPr>
          <w:rFonts w:ascii="Times New Roman" w:hAnsi="Times New Roman" w:cs="Times New Roman"/>
          <w:sz w:val="24"/>
          <w:sz-cs w:val="24"/>
        </w:rPr>
        <w:t xml:space="preserve">Week Three Learning Summaries</w:t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Financial analysis</w:t>
      </w:r>
    </w:p>
    <w:p>
      <w:pPr/>
      <w:r>
        <w:rPr>
          <w:rFonts w:ascii="Times" w:hAnsi="Times" w:cs="Times"/>
          <w:sz w:val="24"/>
          <w:sz-cs w:val="24"/>
        </w:rPr>
        <w:t xml:space="preserve">Sustainable income</w:t>
      </w:r>
    </w:p>
    <w:p>
      <w:pPr/>
      <w:r>
        <w:rPr>
          <w:rFonts w:ascii="Times" w:hAnsi="Times" w:cs="Times"/>
          <w:sz w:val="24"/>
          <w:sz-cs w:val="24"/>
        </w:rPr>
        <w:t xml:space="preserve">Irregular items</w:t>
      </w:r>
    </w:p>
    <w:p>
      <w:pPr/>
      <w:r>
        <w:rPr>
          <w:rFonts w:ascii="Times" w:hAnsi="Times" w:cs="Times"/>
          <w:sz w:val="24"/>
          <w:sz-cs w:val="24"/>
        </w:rPr>
        <w:t xml:space="preserve">Discontinued operations</w:t>
      </w:r>
    </w:p>
    <w:p>
      <w:pPr/>
      <w:r>
        <w:rPr>
          <w:rFonts w:ascii="Times" w:hAnsi="Times" w:cs="Times"/>
          <w:sz w:val="24"/>
          <w:sz-cs w:val="24"/>
        </w:rPr>
        <w:t xml:space="preserve">Extraordinary items</w:t>
      </w:r>
    </w:p>
    <w:p>
      <w:pPr/>
      <w:r>
        <w:rPr>
          <w:rFonts w:ascii="Times" w:hAnsi="Times" w:cs="Times"/>
          <w:sz w:val="24"/>
          <w:sz-cs w:val="24"/>
        </w:rPr>
        <w:t xml:space="preserve">Changes in accounting principle</w:t>
      </w:r>
    </w:p>
    <w:p>
      <w:pPr/>
      <w:r>
        <w:rPr>
          <w:rFonts w:ascii="Times" w:hAnsi="Times" w:cs="Times"/>
          <w:sz w:val="24"/>
          <w:sz-cs w:val="24"/>
        </w:rPr>
        <w:t xml:space="preserve">Comprehensive income</w:t>
      </w:r>
    </w:p>
    <w:p>
      <w:pPr/>
      <w:r>
        <w:rPr>
          <w:rFonts w:ascii="Times" w:hAnsi="Times" w:cs="Times"/>
          <w:sz w:val="24"/>
          <w:sz-cs w:val="24"/>
        </w:rPr>
        <w:t xml:space="preserve">Comparative analysis</w:t>
      </w:r>
    </w:p>
    <w:p>
      <w:pPr/>
      <w:r>
        <w:rPr>
          <w:rFonts w:ascii="Times" w:hAnsi="Times" w:cs="Times"/>
          <w:sz w:val="24"/>
          <w:sz-cs w:val="24"/>
        </w:rPr>
        <w:t xml:space="preserve">Horizontal analysis</w:t>
      </w:r>
    </w:p>
    <w:p>
      <w:pPr/>
      <w:r>
        <w:rPr>
          <w:rFonts w:ascii="Times" w:hAnsi="Times" w:cs="Times"/>
          <w:sz w:val="24"/>
          <w:sz-cs w:val="24"/>
        </w:rPr>
        <w:t xml:space="preserve">Vertical analysis</w:t>
      </w:r>
    </w:p>
    <w:p>
      <w:pPr/>
      <w:r>
        <w:rPr>
          <w:rFonts w:ascii="Times" w:hAnsi="Times" w:cs="Times"/>
          <w:sz w:val="24"/>
          <w:sz-cs w:val="24"/>
        </w:rPr>
        <w:t xml:space="preserve">Industry averages</w:t>
      </w:r>
    </w:p>
    <w:p>
      <w:pPr/>
      <w:r>
        <w:rPr>
          <w:rFonts w:ascii="Times" w:hAnsi="Times" w:cs="Times"/>
          <w:sz w:val="24"/>
          <w:sz-cs w:val="24"/>
        </w:rPr>
        <w:t xml:space="preserve">Ratio analysis</w:t>
      </w:r>
    </w:p>
    <w:p>
      <w:pPr/>
      <w:r>
        <w:rPr>
          <w:rFonts w:ascii="Times" w:hAnsi="Times" w:cs="Times"/>
          <w:sz w:val="24"/>
          <w:sz-cs w:val="24"/>
        </w:rPr>
        <w:t xml:space="preserve">Liquidity ratios</w:t>
      </w:r>
    </w:p>
    <w:p>
      <w:pPr/>
      <w:r>
        <w:rPr>
          <w:rFonts w:ascii="Times" w:hAnsi="Times" w:cs="Times"/>
          <w:sz w:val="24"/>
          <w:sz-cs w:val="24"/>
        </w:rPr>
        <w:t xml:space="preserve">Working capital</w:t>
      </w:r>
    </w:p>
    <w:p>
      <w:pPr/>
      <w:r>
        <w:rPr>
          <w:rFonts w:ascii="Times" w:hAnsi="Times" w:cs="Times"/>
          <w:sz w:val="24"/>
          <w:sz-cs w:val="24"/>
        </w:rPr>
        <w:t xml:space="preserve">Current ratio</w:t>
      </w:r>
    </w:p>
    <w:p>
      <w:pPr/>
      <w:r>
        <w:rPr>
          <w:rFonts w:ascii="Times" w:hAnsi="Times" w:cs="Times"/>
          <w:sz w:val="24"/>
          <w:sz-cs w:val="24"/>
        </w:rPr>
        <w:t xml:space="preserve">Inventory turnover</w:t>
      </w:r>
    </w:p>
    <w:p>
      <w:pPr/>
      <w:r>
        <w:rPr>
          <w:rFonts w:ascii="Times" w:hAnsi="Times" w:cs="Times"/>
          <w:sz w:val="24"/>
          <w:sz-cs w:val="24"/>
        </w:rPr>
        <w:t xml:space="preserve">Receivables turnover</w:t>
      </w:r>
    </w:p>
    <w:p>
      <w:pPr/>
      <w:r>
        <w:rPr>
          <w:rFonts w:ascii="Times" w:hAnsi="Times" w:cs="Times"/>
          <w:sz w:val="24"/>
          <w:sz-cs w:val="24"/>
        </w:rPr>
        <w:t xml:space="preserve">Other</w:t>
      </w:r>
    </w:p>
    <w:p>
      <w:pPr/>
      <w:r>
        <w:rPr>
          <w:rFonts w:ascii="Times" w:hAnsi="Times" w:cs="Times"/>
          <w:sz w:val="24"/>
          <w:sz-cs w:val="24"/>
        </w:rPr>
        <w:t xml:space="preserve">Solvency ratios</w:t>
      </w:r>
    </w:p>
    <w:p>
      <w:pPr/>
      <w:r>
        <w:rPr>
          <w:rFonts w:ascii="Times" w:hAnsi="Times" w:cs="Times"/>
          <w:sz w:val="24"/>
          <w:sz-cs w:val="24"/>
        </w:rPr>
        <w:t xml:space="preserve">Debt to total assets</w:t>
      </w:r>
    </w:p>
    <w:p>
      <w:pPr/>
      <w:r>
        <w:rPr>
          <w:rFonts w:ascii="Times" w:hAnsi="Times" w:cs="Times"/>
          <w:sz w:val="24"/>
          <w:sz-cs w:val="24"/>
        </w:rPr>
        <w:t xml:space="preserve">Cash debt coverage</w:t>
      </w:r>
    </w:p>
    <w:p>
      <w:pPr/>
      <w:r>
        <w:rPr>
          <w:rFonts w:ascii="Times" w:hAnsi="Times" w:cs="Times"/>
          <w:sz w:val="24"/>
          <w:sz-cs w:val="24"/>
        </w:rPr>
        <w:t xml:space="preserve">Times interest earned</w:t>
      </w:r>
    </w:p>
    <w:p>
      <w:pPr/>
      <w:r>
        <w:rPr>
          <w:rFonts w:ascii="Times" w:hAnsi="Times" w:cs="Times"/>
          <w:sz w:val="24"/>
          <w:sz-cs w:val="24"/>
        </w:rPr>
        <w:t xml:space="preserve">Free cash flow</w:t>
      </w:r>
    </w:p>
    <w:p>
      <w:pPr/>
      <w:r>
        <w:rPr>
          <w:rFonts w:ascii="Times" w:hAnsi="Times" w:cs="Times"/>
          <w:sz w:val="24"/>
          <w:sz-cs w:val="24"/>
        </w:rPr>
        <w:t xml:space="preserve">Other</w:t>
      </w:r>
    </w:p>
    <w:p>
      <w:pPr/>
      <w:r>
        <w:rPr>
          <w:rFonts w:ascii="Times" w:hAnsi="Times" w:cs="Times"/>
          <w:sz w:val="24"/>
          <w:sz-cs w:val="24"/>
        </w:rPr>
        <w:t xml:space="preserve">Profitability ratios</w:t>
      </w:r>
    </w:p>
    <w:p>
      <w:pPr/>
      <w:r>
        <w:rPr>
          <w:rFonts w:ascii="Times" w:hAnsi="Times" w:cs="Times"/>
          <w:sz w:val="24"/>
          <w:sz-cs w:val="24"/>
        </w:rPr>
        <w:t xml:space="preserve">Earnings per share</w:t>
      </w:r>
    </w:p>
    <w:p>
      <w:pPr/>
      <w:r>
        <w:rPr>
          <w:rFonts w:ascii="Times" w:hAnsi="Times" w:cs="Times"/>
          <w:sz w:val="24"/>
          <w:sz-cs w:val="24"/>
        </w:rPr>
        <w:t xml:space="preserve">Price-earnings</w:t>
      </w:r>
    </w:p>
    <w:p>
      <w:pPr/>
      <w:r>
        <w:rPr>
          <w:rFonts w:ascii="Times" w:hAnsi="Times" w:cs="Times"/>
          <w:sz w:val="24"/>
          <w:sz-cs w:val="24"/>
        </w:rPr>
        <w:t xml:space="preserve">Profit margin</w:t>
      </w:r>
    </w:p>
    <w:p>
      <w:pPr/>
      <w:r>
        <w:rPr>
          <w:rFonts w:ascii="Times" w:hAnsi="Times" w:cs="Times"/>
          <w:sz w:val="24"/>
          <w:sz-cs w:val="24"/>
        </w:rPr>
        <w:t xml:space="preserve">Return on assets</w:t>
      </w:r>
    </w:p>
    <w:p>
      <w:pPr/>
      <w:r>
        <w:rPr>
          <w:rFonts w:ascii="Times" w:hAnsi="Times" w:cs="Times"/>
          <w:sz w:val="24"/>
          <w:sz-cs w:val="24"/>
        </w:rPr>
        <w:t xml:space="preserve">Return on Investment (ROI)</w:t>
      </w:r>
    </w:p>
    <w:p>
      <w:pPr/>
      <w:r>
        <w:rPr>
          <w:rFonts w:ascii="Times" w:hAnsi="Times" w:cs="Times"/>
          <w:sz w:val="24"/>
          <w:sz-cs w:val="24"/>
        </w:rPr>
        <w:t xml:space="preserve">Other</w:t>
      </w:r>
    </w:p>
    <w:p>
      <w:pPr/>
      <w:r>
        <w:rPr>
          <w:rFonts w:ascii="Times" w:hAnsi="Times" w:cs="Times"/>
          <w:sz w:val="24"/>
          <w:sz-cs w:val="24"/>
        </w:rPr>
        <w:t xml:space="preserve">Quality of earnings</w:t>
      </w:r>
    </w:p>
    <w:p>
      <w:pPr/>
      <w:r>
        <w:rPr>
          <w:rFonts w:ascii="Times" w:hAnsi="Times" w:cs="Times"/>
          <w:sz w:val="24"/>
          <w:sz-cs w:val="24"/>
        </w:rPr>
        <w:t xml:space="preserve">Alternative accounting methods</w:t>
      </w:r>
    </w:p>
    <w:p>
      <w:pPr/>
      <w:r>
        <w:rPr>
          <w:rFonts w:ascii="Times" w:hAnsi="Times" w:cs="Times"/>
          <w:sz w:val="24"/>
          <w:sz-cs w:val="24"/>
        </w:rPr>
        <w:t xml:space="preserve">Pro forma income</w:t>
      </w:r>
    </w:p>
    <w:p>
      <w:pPr/>
      <w:r>
        <w:rPr>
          <w:rFonts w:ascii="Times" w:hAnsi="Times" w:cs="Times"/>
          <w:sz w:val="24"/>
          <w:sz-cs w:val="24"/>
        </w:rPr>
        <w:t xml:space="preserve">Improper recognition</w:t>
      </w:r>
    </w:p>
    <w:p>
      <w:pPr/>
      <w:r>
        <w:rPr>
          <w:rFonts w:ascii="Times" w:hAnsi="Times" w:cs="Times"/>
          <w:sz w:val="24"/>
          <w:sz-cs w:val="24"/>
        </w:rPr>
        <w:t xml:space="preserve">Price-earnings ratio</w:t>
      </w:r>
    </w:p>
    <w:p>
      <w:pPr>
        <w:spacing w:before="60" w:after="6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Do get yourself familiar with the above new materials for week 3.</w:t>
        <w:br/>
        <w:t xml:space="preserve">If you have any questions please let me know by posting your questions to the Questions or Concerns thread.</w:t>
        <w:br/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</cp:coreProperties>
</file>

<file path=docProps/meta.xml><?xml version="1.0" encoding="utf-8"?>
<meta xmlns="http://schemas.apple.com/cocoa/2006/metadata">
  <generator>CocoaOOXMLWriter/1138.23</generator>
</meta>
</file>