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 xml:space="preserve">The stockholders’ equity section of </w:t>
      </w:r>
      <w:proofErr w:type="spellStart"/>
      <w:r>
        <w:rPr>
          <w:rFonts w:ascii="Palatino-Roman" w:hAnsi="Palatino-Roman" w:cs="Palatino-Roman"/>
          <w:sz w:val="18"/>
          <w:szCs w:val="18"/>
        </w:rPr>
        <w:t>Tkachuk</w:t>
      </w:r>
      <w:proofErr w:type="spellEnd"/>
      <w:r>
        <w:rPr>
          <w:rFonts w:ascii="Palatino-Roman" w:hAnsi="Palatino-Roman" w:cs="Palatino-Roman"/>
          <w:sz w:val="18"/>
          <w:szCs w:val="18"/>
        </w:rPr>
        <w:t xml:space="preserve"> Corporation appears below as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of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December 31, 2007.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8% preferred stock, $50 par value, authorized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100,000 shares, outstanding 90,000 shares 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$ 4,500,000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Common stock, $1.00 par, authorized and issued 10 million shares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10,000,000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Additional paid-in capital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20,500,000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Retained earnings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$134,000,000</w:t>
      </w:r>
    </w:p>
    <w:p w:rsidR="007F29FF" w:rsidRP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u w:val="single"/>
        </w:rPr>
      </w:pPr>
      <w:r>
        <w:rPr>
          <w:rFonts w:ascii="Helvetica" w:hAnsi="Helvetica" w:cs="Helvetica"/>
          <w:sz w:val="16"/>
          <w:szCs w:val="16"/>
        </w:rPr>
        <w:t xml:space="preserve">Net income 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  <w:u w:val="single"/>
        </w:rPr>
        <w:t xml:space="preserve"> 3</w:t>
      </w:r>
      <w:r w:rsidRPr="007F29FF">
        <w:rPr>
          <w:rFonts w:ascii="Helvetica" w:hAnsi="Helvetica" w:cs="Helvetica"/>
          <w:sz w:val="16"/>
          <w:szCs w:val="16"/>
          <w:u w:val="single"/>
        </w:rPr>
        <w:t>3,000,000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ab/>
      </w:r>
      <w:r w:rsidRPr="007F29FF">
        <w:rPr>
          <w:rFonts w:ascii="Helvetica" w:hAnsi="Helvetica" w:cs="Helvetica"/>
          <w:sz w:val="16"/>
          <w:szCs w:val="16"/>
          <w:u w:val="single"/>
        </w:rPr>
        <w:t>167,000,000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$202,000,000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>Net income for 2007 reflects a total effective tax rate of 34%. Included in the net income figure is a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loss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of $18,000,000 (before tax) as a result of a major casualty, which should be classified as an extraordinary</w:t>
      </w: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item</w:t>
      </w:r>
      <w:proofErr w:type="gramEnd"/>
      <w:r>
        <w:rPr>
          <w:rFonts w:ascii="Palatino-Roman" w:hAnsi="Palatino-Roman" w:cs="Palatino-Roman"/>
          <w:sz w:val="18"/>
          <w:szCs w:val="18"/>
        </w:rPr>
        <w:t>. Preferred stock dividends of $360,000 were declared and paid in 2007. Dividends of $1,000,000</w:t>
      </w:r>
    </w:p>
    <w:p w:rsidR="00A12B64" w:rsidRDefault="007F29FF" w:rsidP="007F29FF">
      <w:pPr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were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declared and paid to common stockholders in 2007.</w:t>
      </w:r>
    </w:p>
    <w:p w:rsidR="007F29FF" w:rsidRDefault="007F29FF" w:rsidP="007F29FF">
      <w:pPr>
        <w:rPr>
          <w:rFonts w:ascii="Palatino-Roman" w:hAnsi="Palatino-Roman" w:cs="Palatino-Roman"/>
          <w:sz w:val="18"/>
          <w:szCs w:val="18"/>
        </w:rPr>
      </w:pPr>
    </w:p>
    <w:p w:rsidR="007F29FF" w:rsidRDefault="007F29FF" w:rsidP="007F29FF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9AA6"/>
          <w:sz w:val="18"/>
          <w:szCs w:val="18"/>
        </w:rPr>
      </w:pPr>
      <w:r>
        <w:rPr>
          <w:rFonts w:ascii="Futura-Bold" w:hAnsi="Futura-Bold" w:cs="Futura-Bold"/>
          <w:b/>
          <w:bCs/>
          <w:color w:val="009AA6"/>
          <w:sz w:val="18"/>
          <w:szCs w:val="18"/>
        </w:rPr>
        <w:t>Instructions</w:t>
      </w:r>
    </w:p>
    <w:p w:rsidR="007F29FF" w:rsidRDefault="007F29FF" w:rsidP="007F29FF">
      <w:r>
        <w:rPr>
          <w:rFonts w:ascii="Palatino-Roman" w:hAnsi="Palatino-Roman" w:cs="Palatino-Roman"/>
          <w:color w:val="000000"/>
          <w:sz w:val="18"/>
          <w:szCs w:val="18"/>
        </w:rPr>
        <w:t xml:space="preserve">Compute earnings per share data as it should appear on the income statement of </w:t>
      </w:r>
      <w:proofErr w:type="spellStart"/>
      <w:r>
        <w:rPr>
          <w:rFonts w:ascii="Palatino-Roman" w:hAnsi="Palatino-Roman" w:cs="Palatino-Roman"/>
          <w:color w:val="000000"/>
          <w:sz w:val="18"/>
          <w:szCs w:val="18"/>
        </w:rPr>
        <w:t>Tkachuk</w:t>
      </w:r>
      <w:proofErr w:type="spellEnd"/>
      <w:r>
        <w:rPr>
          <w:rFonts w:ascii="Palatino-Roman" w:hAnsi="Palatino-Roman" w:cs="Palatino-Roman"/>
          <w:color w:val="000000"/>
          <w:sz w:val="18"/>
          <w:szCs w:val="18"/>
        </w:rPr>
        <w:t xml:space="preserve"> Corporation</w:t>
      </w:r>
    </w:p>
    <w:sectPr w:rsidR="007F29FF" w:rsidSect="00A1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F29FF"/>
    <w:rsid w:val="007F29FF"/>
    <w:rsid w:val="00A1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2010-04-26T16:30:00Z</dcterms:created>
  <dcterms:modified xsi:type="dcterms:W3CDTF">2010-04-26T16:33:00Z</dcterms:modified>
</cp:coreProperties>
</file>