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BF" w:rsidRDefault="008035BF"/>
    <w:p w:rsidR="008035BF" w:rsidRPr="00E32699" w:rsidRDefault="008035BF" w:rsidP="008035BF">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8035BF" w:rsidRPr="00C541AC" w:rsidRDefault="008035BF" w:rsidP="008035BF">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1 Unit 7</w:t>
      </w:r>
      <w:r w:rsidRPr="00C541AC">
        <w:rPr>
          <w:rFonts w:ascii="Times New Roman" w:eastAsia="Times New Roman" w:hAnsi="Times New Roman" w:cs="Times New Roman"/>
          <w:color w:val="111111"/>
          <w:sz w:val="24"/>
          <w:szCs w:val="24"/>
        </w:rPr>
        <w:t xml:space="preserve"> </w:t>
      </w:r>
    </w:p>
    <w:p w:rsidR="008035BF" w:rsidRDefault="008035BF" w:rsidP="008035BF">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8035BF" w:rsidRDefault="008035BF" w:rsidP="008035BF">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8035BF">
        <w:rPr>
          <w:rFonts w:ascii="Times New Roman" w:eastAsia="Times New Roman" w:hAnsi="Times New Roman" w:cs="Times New Roman"/>
          <w:color w:val="111111"/>
          <w:sz w:val="24"/>
          <w:szCs w:val="24"/>
        </w:rPr>
        <w:t>The Impact of Action Research</w:t>
      </w:r>
    </w:p>
    <w:p w:rsidR="008035BF" w:rsidRPr="00E32699" w:rsidRDefault="008035BF" w:rsidP="008035BF">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8035BF" w:rsidRDefault="008035BF" w:rsidP="008035BF">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bookmarkStart w:id="0" w:name="_GoBack"/>
      <w:bookmarkEnd w:id="0"/>
    </w:p>
    <w:p w:rsidR="008035BF" w:rsidRDefault="008035BF"/>
    <w:p w:rsidR="008035BF" w:rsidRPr="008035BF" w:rsidRDefault="008035BF" w:rsidP="00DA4FE3">
      <w:pPr>
        <w:spacing w:line="480" w:lineRule="auto"/>
        <w:rPr>
          <w:rFonts w:ascii="Times New Roman" w:hAnsi="Times New Roman" w:cs="Times New Roman"/>
          <w:sz w:val="24"/>
          <w:szCs w:val="24"/>
        </w:rPr>
      </w:pPr>
      <w:r w:rsidRPr="008035BF">
        <w:rPr>
          <w:rFonts w:ascii="Times New Roman" w:hAnsi="Times New Roman" w:cs="Times New Roman"/>
          <w:sz w:val="24"/>
          <w:szCs w:val="24"/>
        </w:rPr>
        <w:t>Having read about the action plan embraces the two overarching goals of Healthy People 2010, which are to increase quality and years of healthy life and to eliminate health disparities. It also addresses four goals specific to heart disease and stroke, as distinguished by the Healthy People 2010 Heart and Stroke Partnership according to the different intervention approaches that apply.</w:t>
      </w:r>
      <w:r>
        <w:rPr>
          <w:rFonts w:ascii="Times New Roman" w:hAnsi="Times New Roman" w:cs="Times New Roman"/>
          <w:sz w:val="24"/>
          <w:szCs w:val="24"/>
        </w:rPr>
        <w:t xml:space="preserve"> </w:t>
      </w:r>
      <w:r w:rsidR="006C21BD">
        <w:rPr>
          <w:rFonts w:ascii="Times New Roman" w:hAnsi="Times New Roman" w:cs="Times New Roman"/>
          <w:sz w:val="24"/>
          <w:szCs w:val="24"/>
        </w:rPr>
        <w:t xml:space="preserve">Embracing about </w:t>
      </w:r>
      <w:r w:rsidR="006C21BD" w:rsidRPr="006C21BD">
        <w:rPr>
          <w:rFonts w:ascii="Times New Roman" w:hAnsi="Times New Roman" w:cs="Times New Roman"/>
          <w:sz w:val="24"/>
          <w:szCs w:val="24"/>
        </w:rPr>
        <w:t>public health strategy is based on the concept of pursuing the Healthy People 2010 goal for preventing heart disease and stroke by applying the full array of intervention approaches. For this Action Plan, participants proposed specific recommendations after identifying public health areas critical to preventing heart disease and stroke</w:t>
      </w:r>
      <w:r w:rsidR="006C21BD">
        <w:rPr>
          <w:rFonts w:ascii="Times New Roman" w:hAnsi="Times New Roman" w:cs="Times New Roman"/>
          <w:sz w:val="24"/>
          <w:szCs w:val="24"/>
        </w:rPr>
        <w:t xml:space="preserve">. Knowing that about the </w:t>
      </w:r>
      <w:r w:rsidR="006C21BD" w:rsidRPr="006C21BD">
        <w:rPr>
          <w:rFonts w:ascii="Times New Roman" w:hAnsi="Times New Roman" w:cs="Times New Roman"/>
          <w:sz w:val="24"/>
          <w:szCs w:val="24"/>
        </w:rPr>
        <w:t>Division of Epidemiology and Clinical Applications (DECA) plans, directs, and evaluates research on the causes, prevention, diagnosis, and treatment of CVD, as well as on the need for technological development in the acquisition and application of research findings. It supports epidemiologic studies, clinical trials, demonstration and education research, disease prevention and health promotion research, and basic and applied r</w:t>
      </w:r>
      <w:r w:rsidR="006C21BD">
        <w:rPr>
          <w:rFonts w:ascii="Times New Roman" w:hAnsi="Times New Roman" w:cs="Times New Roman"/>
          <w:sz w:val="24"/>
          <w:szCs w:val="24"/>
        </w:rPr>
        <w:t>esearch in behavioral medicine.</w:t>
      </w:r>
    </w:p>
    <w:sectPr w:rsidR="008035BF" w:rsidRPr="0080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BF"/>
    <w:rsid w:val="00017EBD"/>
    <w:rsid w:val="00330F1F"/>
    <w:rsid w:val="004D24AB"/>
    <w:rsid w:val="006C21BD"/>
    <w:rsid w:val="008035BF"/>
    <w:rsid w:val="00DA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2016-05-24T04:40:00Z</dcterms:created>
  <dcterms:modified xsi:type="dcterms:W3CDTF">2016-05-24T04:40:00Z</dcterms:modified>
</cp:coreProperties>
</file>