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AB" w:rsidRDefault="003016AB"/>
    <w:tbl>
      <w:tblPr>
        <w:tblW w:w="5000" w:type="pct"/>
        <w:tblCellMar>
          <w:top w:w="30" w:type="dxa"/>
          <w:left w:w="30" w:type="dxa"/>
          <w:bottom w:w="30" w:type="dxa"/>
          <w:right w:w="30" w:type="dxa"/>
        </w:tblCellMar>
        <w:tblLook w:val="04A0"/>
      </w:tblPr>
      <w:tblGrid>
        <w:gridCol w:w="9420"/>
      </w:tblGrid>
      <w:tr w:rsidR="003016AB" w:rsidRPr="003016AB">
        <w:tc>
          <w:tcPr>
            <w:tcW w:w="0" w:type="auto"/>
            <w:tcBorders>
              <w:top w:val="nil"/>
              <w:left w:val="nil"/>
              <w:bottom w:val="nil"/>
              <w:right w:val="nil"/>
            </w:tcBorders>
            <w:vAlign w:val="center"/>
            <w:hideMark/>
          </w:tcPr>
          <w:p w:rsidR="003016AB" w:rsidRPr="00EA6018" w:rsidRDefault="003016AB" w:rsidP="003016AB">
            <w:pPr>
              <w:spacing w:before="100" w:beforeAutospacing="1" w:after="100" w:afterAutospacing="1" w:line="240" w:lineRule="auto"/>
              <w:rPr>
                <w:rFonts w:ascii="Trebuchet MS" w:eastAsia="Times New Roman" w:hAnsi="Trebuchet MS" w:cs="Times New Roman"/>
                <w:sz w:val="24"/>
                <w:szCs w:val="24"/>
              </w:rPr>
            </w:pPr>
            <w:r w:rsidRPr="00EA6018">
              <w:rPr>
                <w:rFonts w:ascii="Trebuchet MS" w:eastAsia="Times New Roman" w:hAnsi="Trebuchet MS" w:cs="Times New Roman"/>
                <w:sz w:val="24"/>
                <w:szCs w:val="24"/>
              </w:rPr>
              <w:t> </w:t>
            </w:r>
          </w:p>
          <w:p w:rsidR="003016AB" w:rsidRPr="00EA6018" w:rsidRDefault="003016AB" w:rsidP="003016AB">
            <w:pPr>
              <w:spacing w:before="100" w:beforeAutospacing="1" w:after="100" w:afterAutospacing="1" w:line="240" w:lineRule="auto"/>
              <w:outlineLvl w:val="0"/>
              <w:rPr>
                <w:rFonts w:ascii="Trebuchet MS" w:eastAsia="Times New Roman" w:hAnsi="Trebuchet MS" w:cs="Times New Roman"/>
                <w:b/>
                <w:bCs/>
                <w:kern w:val="36"/>
                <w:sz w:val="24"/>
                <w:szCs w:val="24"/>
              </w:rPr>
            </w:pPr>
            <w:r w:rsidRPr="00EA6018">
              <w:rPr>
                <w:rFonts w:ascii="Trebuchet MS" w:eastAsia="Times New Roman" w:hAnsi="Trebuchet MS" w:cs="Times New Roman"/>
                <w:b/>
                <w:bCs/>
                <w:kern w:val="36"/>
                <w:sz w:val="24"/>
                <w:szCs w:val="24"/>
              </w:rPr>
              <w:t>Reading and Resources</w:t>
            </w:r>
          </w:p>
          <w:p w:rsidR="003016AB" w:rsidRPr="00EA6018" w:rsidRDefault="003016AB" w:rsidP="003016AB">
            <w:pPr>
              <w:spacing w:before="100" w:beforeAutospacing="1" w:after="100" w:afterAutospacing="1" w:line="240" w:lineRule="auto"/>
              <w:rPr>
                <w:rFonts w:ascii="Trebuchet MS" w:eastAsia="Times New Roman" w:hAnsi="Trebuchet MS" w:cs="Times New Roman"/>
                <w:sz w:val="24"/>
                <w:szCs w:val="24"/>
              </w:rPr>
            </w:pPr>
            <w:r w:rsidRPr="00EA6018">
              <w:rPr>
                <w:rFonts w:ascii="Trebuchet MS" w:eastAsia="Times New Roman" w:hAnsi="Trebuchet MS" w:cs="Times New Roman"/>
                <w:sz w:val="24"/>
                <w:szCs w:val="24"/>
              </w:rPr>
              <w:t> </w:t>
            </w:r>
          </w:p>
          <w:p w:rsidR="003016AB" w:rsidRPr="00EA6018" w:rsidRDefault="003016AB" w:rsidP="003016AB">
            <w:pPr>
              <w:spacing w:before="100" w:beforeAutospacing="1" w:after="100" w:afterAutospacing="1" w:line="240" w:lineRule="auto"/>
              <w:rPr>
                <w:rFonts w:ascii="Trebuchet MS" w:eastAsia="Times New Roman" w:hAnsi="Trebuchet MS" w:cs="Times New Roman"/>
                <w:sz w:val="24"/>
                <w:szCs w:val="24"/>
              </w:rPr>
            </w:pPr>
            <w:r w:rsidRPr="00EA6018">
              <w:rPr>
                <w:rFonts w:ascii="Trebuchet MS" w:eastAsia="Times New Roman" w:hAnsi="Trebuchet MS" w:cs="Times New Roman"/>
                <w:sz w:val="24"/>
                <w:szCs w:val="24"/>
              </w:rPr>
              <w:t>Title: </w:t>
            </w:r>
            <w:proofErr w:type="spellStart"/>
            <w:r w:rsidRPr="00EA6018">
              <w:rPr>
                <w:rFonts w:ascii="Calibri" w:eastAsia="Times New Roman" w:hAnsi="Calibri" w:cs="Times New Roman"/>
                <w:sz w:val="24"/>
                <w:szCs w:val="24"/>
              </w:rPr>
              <w:t>Szypszak</w:t>
            </w:r>
            <w:proofErr w:type="spellEnd"/>
            <w:r w:rsidRPr="00EA6018">
              <w:rPr>
                <w:rFonts w:ascii="Calibri" w:eastAsia="Times New Roman" w:hAnsi="Calibri" w:cs="Times New Roman"/>
                <w:sz w:val="24"/>
                <w:szCs w:val="24"/>
              </w:rPr>
              <w:t xml:space="preserve"> Chapters 9,10</w:t>
            </w:r>
          </w:p>
          <w:p w:rsidR="003016AB" w:rsidRPr="00EA6018" w:rsidRDefault="003016AB" w:rsidP="003016AB">
            <w:pPr>
              <w:spacing w:after="0" w:line="240" w:lineRule="auto"/>
              <w:rPr>
                <w:rFonts w:ascii="Trebuchet MS" w:eastAsia="Times New Roman" w:hAnsi="Trebuchet MS" w:cs="Times New Roman"/>
                <w:sz w:val="24"/>
                <w:szCs w:val="24"/>
              </w:rPr>
            </w:pPr>
            <w:r w:rsidRPr="00EA6018">
              <w:rPr>
                <w:rFonts w:ascii="Calibri" w:eastAsia="Times New Roman" w:hAnsi="Calibri" w:cs="Times New Roman"/>
                <w:sz w:val="24"/>
                <w:szCs w:val="24"/>
              </w:rPr>
              <w:t xml:space="preserve">And </w:t>
            </w:r>
            <w:r w:rsidRPr="00EA6018">
              <w:rPr>
                <w:rFonts w:ascii="Calibri" w:eastAsia="Times New Roman" w:hAnsi="Calibri" w:cs="Times New Roman"/>
                <w:color w:val="262626"/>
                <w:sz w:val="24"/>
                <w:szCs w:val="24"/>
              </w:rPr>
              <w:t xml:space="preserve">Potter, R., &amp; </w:t>
            </w:r>
            <w:proofErr w:type="spellStart"/>
            <w:r w:rsidRPr="00EA6018">
              <w:rPr>
                <w:rFonts w:ascii="Calibri" w:eastAsia="Times New Roman" w:hAnsi="Calibri" w:cs="Times New Roman"/>
                <w:color w:val="262626"/>
                <w:sz w:val="24"/>
                <w:szCs w:val="24"/>
              </w:rPr>
              <w:t>Rosky</w:t>
            </w:r>
            <w:proofErr w:type="spellEnd"/>
            <w:r w:rsidRPr="00EA6018">
              <w:rPr>
                <w:rFonts w:ascii="Calibri" w:eastAsia="Times New Roman" w:hAnsi="Calibri" w:cs="Times New Roman"/>
                <w:color w:val="262626"/>
                <w:sz w:val="24"/>
                <w:szCs w:val="24"/>
              </w:rPr>
              <w:t>, J. (2013). The Iron Fist in the Latex Glove: The Intersection of Public Health and Criminal Justice. American Journal Of Criminal Justice, 38(2), 276-288. doi:10.1007/s12103-012-9173-3</w:t>
            </w:r>
            <w:r w:rsidRPr="00EA6018">
              <w:rPr>
                <w:rFonts w:ascii="Trebuchet MS" w:eastAsia="Times New Roman" w:hAnsi="Trebuchet MS" w:cs="Times New Roman"/>
                <w:sz w:val="24"/>
                <w:szCs w:val="24"/>
              </w:rPr>
              <w:t xml:space="preserve"> </w:t>
            </w:r>
          </w:p>
        </w:tc>
      </w:tr>
      <w:tr w:rsidR="003016AB" w:rsidRPr="003016AB">
        <w:tc>
          <w:tcPr>
            <w:tcW w:w="0" w:type="auto"/>
            <w:tcBorders>
              <w:top w:val="nil"/>
              <w:left w:val="nil"/>
              <w:bottom w:val="nil"/>
              <w:right w:val="nil"/>
            </w:tcBorders>
            <w:vAlign w:val="center"/>
            <w:hideMark/>
          </w:tcPr>
          <w:p w:rsidR="003016AB" w:rsidRPr="00EA6018" w:rsidRDefault="003016AB" w:rsidP="003016AB">
            <w:pPr>
              <w:spacing w:after="0" w:line="240" w:lineRule="auto"/>
              <w:rPr>
                <w:rFonts w:ascii="Trebuchet MS" w:eastAsia="Times New Roman" w:hAnsi="Trebuchet MS" w:cs="Times New Roman"/>
                <w:sz w:val="24"/>
                <w:szCs w:val="24"/>
              </w:rPr>
            </w:pPr>
            <w:r w:rsidRPr="00EA6018">
              <w:rPr>
                <w:rFonts w:ascii="Trebuchet MS" w:eastAsia="Times New Roman" w:hAnsi="Trebuchet MS" w:cs="Times New Roman"/>
                <w:sz w:val="24"/>
                <w:szCs w:val="24"/>
              </w:rPr>
              <w:t xml:space="preserve">  </w:t>
            </w:r>
          </w:p>
        </w:tc>
      </w:tr>
      <w:tr w:rsidR="003016AB" w:rsidTr="003016AB">
        <w:tc>
          <w:tcPr>
            <w:tcW w:w="0" w:type="auto"/>
            <w:tcBorders>
              <w:top w:val="nil"/>
              <w:left w:val="nil"/>
              <w:bottom w:val="nil"/>
              <w:right w:val="nil"/>
            </w:tcBorders>
            <w:vAlign w:val="center"/>
            <w:hideMark/>
          </w:tcPr>
          <w:p w:rsidR="003016AB" w:rsidRPr="00EA6018" w:rsidRDefault="003016AB" w:rsidP="003016AB">
            <w:pPr>
              <w:spacing w:after="0" w:line="240" w:lineRule="auto"/>
              <w:rPr>
                <w:rFonts w:ascii="Trebuchet MS" w:eastAsia="Times New Roman" w:hAnsi="Trebuchet MS" w:cs="Times New Roman"/>
                <w:sz w:val="24"/>
                <w:szCs w:val="24"/>
              </w:rPr>
            </w:pPr>
            <w:r w:rsidRPr="00EA6018">
              <w:rPr>
                <w:rStyle w:val="bold"/>
                <w:rFonts w:ascii="Trebuchet MS" w:eastAsia="Times New Roman" w:hAnsi="Trebuchet MS" w:cs="Times New Roman"/>
                <w:sz w:val="24"/>
                <w:szCs w:val="24"/>
              </w:rPr>
              <w:t>Week Six</w:t>
            </w:r>
            <w:r w:rsidRPr="00EA6018">
              <w:rPr>
                <w:rFonts w:ascii="Trebuchet MS" w:eastAsia="Times New Roman" w:hAnsi="Trebuchet MS" w:cs="Times New Roman"/>
                <w:sz w:val="24"/>
                <w:szCs w:val="24"/>
              </w:rPr>
              <w:t xml:space="preserve"> </w:t>
            </w:r>
          </w:p>
        </w:tc>
      </w:tr>
      <w:tr w:rsidR="003016AB" w:rsidTr="003016AB">
        <w:tc>
          <w:tcPr>
            <w:tcW w:w="0" w:type="auto"/>
            <w:tcBorders>
              <w:top w:val="nil"/>
              <w:left w:val="nil"/>
              <w:bottom w:val="nil"/>
              <w:right w:val="nil"/>
            </w:tcBorders>
            <w:vAlign w:val="center"/>
            <w:hideMark/>
          </w:tcPr>
          <w:p w:rsidR="003016AB" w:rsidRPr="00EA6018" w:rsidRDefault="00EA6018" w:rsidP="00EA6018">
            <w:pPr>
              <w:spacing w:before="100" w:beforeAutospacing="1" w:after="100" w:afterAutospacing="1" w:line="240" w:lineRule="auto"/>
              <w:outlineLvl w:val="0"/>
              <w:rPr>
                <w:rFonts w:ascii="Times New Roman" w:eastAsia="Times New Roman" w:hAnsi="Times New Roman" w:cs="Times New Roman"/>
                <w:sz w:val="24"/>
                <w:szCs w:val="24"/>
              </w:rPr>
            </w:pPr>
            <w:r w:rsidRPr="00EA6018">
              <w:rPr>
                <w:rFonts w:ascii="Times New Roman" w:eastAsia="Times New Roman" w:hAnsi="Times New Roman" w:cs="Times New Roman"/>
                <w:b/>
                <w:bCs/>
                <w:kern w:val="36"/>
                <w:sz w:val="24"/>
                <w:szCs w:val="24"/>
              </w:rPr>
              <w:t xml:space="preserve">Reading and Resources - </w:t>
            </w:r>
            <w:r w:rsidR="003016AB" w:rsidRPr="00EA6018">
              <w:rPr>
                <w:rStyle w:val="bold"/>
                <w:rFonts w:ascii="Times New Roman" w:eastAsia="Times New Roman" w:hAnsi="Times New Roman" w:cs="Times New Roman"/>
                <w:sz w:val="24"/>
                <w:szCs w:val="24"/>
              </w:rPr>
              <w:t>Lesson - Week Six</w:t>
            </w:r>
            <w:r w:rsidR="003016AB" w:rsidRPr="00EA6018">
              <w:rPr>
                <w:rFonts w:ascii="Times New Roman" w:eastAsia="Times New Roman" w:hAnsi="Times New Roman" w:cs="Times New Roman"/>
                <w:sz w:val="24"/>
                <w:szCs w:val="24"/>
              </w:rPr>
              <w:t xml:space="preserve"> </w:t>
            </w:r>
          </w:p>
        </w:tc>
      </w:tr>
      <w:tr w:rsidR="003016AB" w:rsidTr="003016AB">
        <w:tc>
          <w:tcPr>
            <w:tcW w:w="0" w:type="auto"/>
            <w:tcBorders>
              <w:top w:val="nil"/>
              <w:left w:val="nil"/>
              <w:bottom w:val="nil"/>
              <w:right w:val="nil"/>
            </w:tcBorders>
            <w:vAlign w:val="center"/>
            <w:hideMark/>
          </w:tcPr>
          <w:p w:rsidR="003016AB" w:rsidRPr="00EA6018" w:rsidRDefault="003016AB" w:rsidP="003016AB">
            <w:pPr>
              <w:spacing w:after="0" w:line="240" w:lineRule="auto"/>
              <w:rPr>
                <w:rFonts w:ascii="Trebuchet MS" w:eastAsia="Times New Roman" w:hAnsi="Trebuchet MS" w:cs="Times New Roman"/>
                <w:sz w:val="24"/>
                <w:szCs w:val="24"/>
              </w:rPr>
            </w:pPr>
          </w:p>
        </w:tc>
      </w:tr>
      <w:tr w:rsidR="003016AB" w:rsidRPr="00EA6018" w:rsidTr="003016AB">
        <w:tc>
          <w:tcPr>
            <w:tcW w:w="0" w:type="auto"/>
            <w:tcBorders>
              <w:top w:val="nil"/>
              <w:left w:val="nil"/>
              <w:bottom w:val="nil"/>
              <w:right w:val="nil"/>
            </w:tcBorders>
            <w:vAlign w:val="center"/>
            <w:hideMark/>
          </w:tcPr>
          <w:p w:rsidR="003016AB" w:rsidRPr="00EA6018" w:rsidRDefault="003016AB" w:rsidP="003016AB">
            <w:pPr>
              <w:spacing w:after="0" w:line="240" w:lineRule="auto"/>
              <w:rPr>
                <w:rFonts w:ascii="Times New Roman" w:eastAsia="Times New Roman" w:hAnsi="Times New Roman" w:cs="Times New Roman"/>
                <w:sz w:val="24"/>
                <w:szCs w:val="24"/>
              </w:rPr>
            </w:pPr>
            <w:r w:rsidRPr="00EA601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5pt" o:ole="">
                  <v:imagedata r:id="rId4" o:title=""/>
                </v:shape>
                <w:control r:id="rId5" w:name="DefaultOcxName" w:shapeid="_x0000_i1030"/>
              </w:object>
            </w:r>
            <w:r w:rsidRPr="00EA6018">
              <w:rPr>
                <w:rFonts w:ascii="Times New Roman" w:eastAsia="Times New Roman" w:hAnsi="Times New Roman" w:cs="Times New Roman"/>
                <w:sz w:val="24"/>
                <w:szCs w:val="24"/>
              </w:rPr>
              <w:object w:dxaOrig="1440" w:dyaOrig="1440">
                <v:shape id="_x0000_i1029" type="#_x0000_t75" style="width:1in;height:18.15pt" o:ole="">
                  <v:imagedata r:id="rId6" o:title=""/>
                </v:shape>
                <w:control r:id="rId7" w:name="DefaultOcxName1" w:shapeid="_x0000_i1029"/>
              </w:object>
            </w:r>
          </w:p>
          <w:p w:rsidR="003016AB" w:rsidRPr="00EA6018" w:rsidRDefault="003016AB" w:rsidP="003016AB">
            <w:pPr>
              <w:spacing w:after="0"/>
              <w:rPr>
                <w:rFonts w:ascii="Times New Roman" w:eastAsia="Times New Roman" w:hAnsi="Times New Roman" w:cs="Times New Roman"/>
                <w:sz w:val="24"/>
                <w:szCs w:val="24"/>
              </w:rPr>
            </w:pPr>
            <w:r w:rsidRPr="00EA6018">
              <w:rPr>
                <w:rFonts w:ascii="Times New Roman" w:eastAsia="Times New Roman" w:hAnsi="Times New Roman" w:cs="Times New Roman"/>
                <w:sz w:val="24"/>
                <w:szCs w:val="24"/>
              </w:rPr>
              <w:t> </w:t>
            </w:r>
          </w:p>
          <w:p w:rsidR="003016AB" w:rsidRPr="00EA6018" w:rsidRDefault="003016AB" w:rsidP="003016AB">
            <w:pPr>
              <w:spacing w:after="0"/>
              <w:rPr>
                <w:rFonts w:ascii="Times New Roman" w:eastAsia="Times New Roman" w:hAnsi="Times New Roman" w:cs="Times New Roman"/>
                <w:sz w:val="24"/>
                <w:szCs w:val="24"/>
              </w:rPr>
            </w:pPr>
            <w:r w:rsidRPr="00EA6018">
              <w:rPr>
                <w:rFonts w:ascii="Times New Roman" w:eastAsia="Times New Roman" w:hAnsi="Times New Roman" w:cs="Times New Roman"/>
                <w:sz w:val="24"/>
                <w:szCs w:val="24"/>
              </w:rPr>
              <w:t>Week 6</w:t>
            </w:r>
          </w:p>
          <w:p w:rsidR="003016AB" w:rsidRPr="00EA6018" w:rsidRDefault="003016AB" w:rsidP="003016AB">
            <w:pPr>
              <w:spacing w:line="240" w:lineRule="auto"/>
              <w:rPr>
                <w:rFonts w:ascii="Times New Roman" w:eastAsia="Times New Roman" w:hAnsi="Times New Roman" w:cs="Times New Roman"/>
                <w:sz w:val="24"/>
                <w:szCs w:val="24"/>
              </w:rPr>
            </w:pPr>
            <w:r w:rsidRPr="00EA6018">
              <w:rPr>
                <w:rFonts w:ascii="Times New Roman" w:eastAsia="Times New Roman" w:hAnsi="Times New Roman" w:cs="Times New Roman"/>
                <w:sz w:val="24"/>
                <w:szCs w:val="24"/>
              </w:rPr>
              <w:t>Torts and Criminal Law</w:t>
            </w:r>
          </w:p>
          <w:p w:rsidR="003016AB" w:rsidRPr="00EA6018" w:rsidRDefault="003016AB" w:rsidP="003016AB">
            <w:pPr>
              <w:spacing w:after="0"/>
              <w:rPr>
                <w:rFonts w:ascii="Times New Roman" w:eastAsia="Times New Roman" w:hAnsi="Times New Roman" w:cs="Times New Roman"/>
                <w:sz w:val="24"/>
                <w:szCs w:val="24"/>
              </w:rPr>
            </w:pPr>
            <w:hyperlink r:id="rId8" w:tgtFrame="_blank" w:history="1">
              <w:r w:rsidRPr="00EA6018">
                <w:rPr>
                  <w:rStyle w:val="Hyperlink"/>
                  <w:rFonts w:ascii="Times New Roman" w:eastAsia="Times New Roman" w:hAnsi="Times New Roman" w:cs="Times New Roman"/>
                  <w:sz w:val="24"/>
                  <w:szCs w:val="24"/>
                </w:rPr>
                <w:t>Torts</w:t>
              </w:r>
            </w:hyperlink>
            <w:r w:rsidRPr="00EA6018">
              <w:rPr>
                <w:rFonts w:ascii="Times New Roman" w:eastAsia="Times New Roman" w:hAnsi="Times New Roman" w:cs="Times New Roman"/>
                <w:sz w:val="24"/>
                <w:szCs w:val="24"/>
              </w:rPr>
              <w:t xml:space="preserve"> encompass a broad range of legal causes of actions for a "civil" wrong - as opposed to "criminal" wrongs. Torts include defamation, assault, battery, intentional interference with contractual relations, fraud and others. For this class, we will focus primarily on Government immunity from tort liability. Congress enacted the</w:t>
            </w:r>
            <w:hyperlink r:id="rId9" w:tgtFrame="_blank" w:history="1">
              <w:r w:rsidRPr="00EA6018">
                <w:rPr>
                  <w:rStyle w:val="Hyperlink"/>
                  <w:rFonts w:ascii="Times New Roman" w:eastAsia="Times New Roman" w:hAnsi="Times New Roman" w:cs="Times New Roman"/>
                  <w:sz w:val="24"/>
                  <w:szCs w:val="24"/>
                </w:rPr>
                <w:t> Federal Torts Claims Act</w:t>
              </w:r>
            </w:hyperlink>
            <w:r w:rsidRPr="00EA6018">
              <w:rPr>
                <w:rFonts w:ascii="Times New Roman" w:eastAsia="Times New Roman" w:hAnsi="Times New Roman" w:cs="Times New Roman"/>
                <w:sz w:val="24"/>
                <w:szCs w:val="24"/>
              </w:rPr>
              <w:t> (FTCA) in 1946. States have their own versions. </w:t>
            </w:r>
          </w:p>
          <w:p w:rsidR="003016AB" w:rsidRPr="00EA6018" w:rsidRDefault="003016AB" w:rsidP="003016AB">
            <w:pPr>
              <w:spacing w:after="0"/>
              <w:rPr>
                <w:rFonts w:ascii="Times New Roman" w:eastAsia="Times New Roman" w:hAnsi="Times New Roman" w:cs="Times New Roman"/>
                <w:sz w:val="24"/>
                <w:szCs w:val="24"/>
              </w:rPr>
            </w:pPr>
            <w:r w:rsidRPr="00EA6018">
              <w:rPr>
                <w:rFonts w:ascii="Times New Roman" w:eastAsia="Times New Roman" w:hAnsi="Times New Roman" w:cs="Times New Roman"/>
                <w:sz w:val="24"/>
                <w:szCs w:val="24"/>
              </w:rPr>
              <w:t xml:space="preserve">Sovereign immunity protects federal and state government from damages liability unless the government has waived it in many cases. Certain "governmental" acts are subject to immunity while "proprietary" acts are not. Governmental usually means functions related to public health, safety and welfare. </w:t>
            </w:r>
            <w:proofErr w:type="gramStart"/>
            <w:r w:rsidRPr="00EA6018">
              <w:rPr>
                <w:rFonts w:ascii="Times New Roman" w:eastAsia="Times New Roman" w:hAnsi="Times New Roman" w:cs="Times New Roman"/>
                <w:sz w:val="24"/>
                <w:szCs w:val="24"/>
              </w:rPr>
              <w:t>Proprietary  functions</w:t>
            </w:r>
            <w:proofErr w:type="gramEnd"/>
            <w:r w:rsidRPr="00EA6018">
              <w:rPr>
                <w:rFonts w:ascii="Times New Roman" w:eastAsia="Times New Roman" w:hAnsi="Times New Roman" w:cs="Times New Roman"/>
                <w:sz w:val="24"/>
                <w:szCs w:val="24"/>
              </w:rPr>
              <w:t xml:space="preserve"> are generally performed by private actors but there is overlap. </w:t>
            </w:r>
          </w:p>
          <w:p w:rsidR="003016AB" w:rsidRPr="00EA6018" w:rsidRDefault="003016AB" w:rsidP="003016AB">
            <w:pPr>
              <w:spacing w:after="0"/>
              <w:rPr>
                <w:rFonts w:ascii="Times New Roman" w:eastAsia="Times New Roman" w:hAnsi="Times New Roman" w:cs="Times New Roman"/>
                <w:sz w:val="24"/>
                <w:szCs w:val="24"/>
              </w:rPr>
            </w:pPr>
            <w:r w:rsidRPr="00EA6018">
              <w:rPr>
                <w:rFonts w:ascii="Times New Roman" w:eastAsia="Times New Roman" w:hAnsi="Times New Roman" w:cs="Times New Roman"/>
                <w:sz w:val="24"/>
                <w:szCs w:val="24"/>
              </w:rPr>
              <w:t xml:space="preserve">One of the most recent debates on sovereign immunity concerns the </w:t>
            </w:r>
            <w:hyperlink r:id="rId10" w:tgtFrame="_blank" w:history="1">
              <w:r w:rsidRPr="00EA6018">
                <w:rPr>
                  <w:rStyle w:val="Hyperlink"/>
                  <w:rFonts w:ascii="Times New Roman" w:eastAsia="Times New Roman" w:hAnsi="Times New Roman" w:cs="Times New Roman"/>
                  <w:sz w:val="24"/>
                  <w:szCs w:val="24"/>
                </w:rPr>
                <w:t>indigenous tribes</w:t>
              </w:r>
            </w:hyperlink>
            <w:r w:rsidRPr="00EA6018">
              <w:rPr>
                <w:rFonts w:ascii="Times New Roman" w:eastAsia="Times New Roman" w:hAnsi="Times New Roman" w:cs="Times New Roman"/>
                <w:sz w:val="24"/>
                <w:szCs w:val="24"/>
              </w:rPr>
              <w:t xml:space="preserve"> in the United States. To better understand this issue in </w:t>
            </w:r>
            <w:proofErr w:type="gramStart"/>
            <w:r w:rsidRPr="00EA6018">
              <w:rPr>
                <w:rFonts w:ascii="Times New Roman" w:eastAsia="Times New Roman" w:hAnsi="Times New Roman" w:cs="Times New Roman"/>
                <w:sz w:val="24"/>
                <w:szCs w:val="24"/>
              </w:rPr>
              <w:t>context,</w:t>
            </w:r>
            <w:proofErr w:type="gramEnd"/>
            <w:r w:rsidRPr="00EA6018">
              <w:rPr>
                <w:rFonts w:ascii="Times New Roman" w:eastAsia="Times New Roman" w:hAnsi="Times New Roman" w:cs="Times New Roman"/>
                <w:sz w:val="24"/>
                <w:szCs w:val="24"/>
              </w:rPr>
              <w:t xml:space="preserve"> please view the videos and review the sources at the Native Nations Institute </w:t>
            </w:r>
            <w:hyperlink r:id="rId11" w:tgtFrame="_blank" w:history="1">
              <w:r w:rsidRPr="00EA6018">
                <w:rPr>
                  <w:rStyle w:val="Hyperlink"/>
                  <w:rFonts w:ascii="Times New Roman" w:eastAsia="Times New Roman" w:hAnsi="Times New Roman" w:cs="Times New Roman"/>
                  <w:sz w:val="24"/>
                  <w:szCs w:val="24"/>
                </w:rPr>
                <w:t>website</w:t>
              </w:r>
            </w:hyperlink>
            <w:r w:rsidRPr="00EA6018">
              <w:rPr>
                <w:rFonts w:ascii="Times New Roman" w:eastAsia="Times New Roman" w:hAnsi="Times New Roman" w:cs="Times New Roman"/>
                <w:sz w:val="24"/>
                <w:szCs w:val="24"/>
              </w:rPr>
              <w:t>.</w:t>
            </w:r>
          </w:p>
          <w:p w:rsidR="003016AB" w:rsidRPr="00EA6018" w:rsidRDefault="003016AB" w:rsidP="003016AB">
            <w:pPr>
              <w:spacing w:after="0"/>
              <w:rPr>
                <w:rFonts w:ascii="Times New Roman" w:eastAsia="Times New Roman" w:hAnsi="Times New Roman" w:cs="Times New Roman"/>
                <w:sz w:val="24"/>
                <w:szCs w:val="24"/>
              </w:rPr>
            </w:pPr>
            <w:hyperlink r:id="rId12" w:tgtFrame="_blank" w:history="1">
              <w:r w:rsidRPr="00EA6018">
                <w:rPr>
                  <w:rStyle w:val="Hyperlink"/>
                  <w:rFonts w:ascii="Times New Roman" w:eastAsia="Times New Roman" w:hAnsi="Times New Roman" w:cs="Times New Roman"/>
                  <w:sz w:val="24"/>
                  <w:szCs w:val="24"/>
                </w:rPr>
                <w:t>Criminal law </w:t>
              </w:r>
            </w:hyperlink>
            <w:r w:rsidRPr="00EA6018">
              <w:rPr>
                <w:rFonts w:ascii="Times New Roman" w:eastAsia="Times New Roman" w:hAnsi="Times New Roman" w:cs="Times New Roman"/>
                <w:sz w:val="24"/>
                <w:szCs w:val="24"/>
              </w:rPr>
              <w:t> involves prosecution by the government of an individual for an act that is classified as a crime. Crimes include felonies and misdemeanors. Criminal offenses are made up of elements. The text outlines many of the basic terms associated with criminal law. </w:t>
            </w:r>
          </w:p>
        </w:tc>
      </w:tr>
      <w:tr w:rsidR="003016AB" w:rsidTr="003016AB">
        <w:tc>
          <w:tcPr>
            <w:tcW w:w="0" w:type="auto"/>
            <w:tcBorders>
              <w:top w:val="nil"/>
              <w:left w:val="nil"/>
              <w:bottom w:val="nil"/>
              <w:right w:val="nil"/>
            </w:tcBorders>
            <w:vAlign w:val="center"/>
            <w:hideMark/>
          </w:tcPr>
          <w:p w:rsidR="003016AB" w:rsidRPr="003016AB" w:rsidRDefault="003016AB" w:rsidP="003016AB">
            <w:pPr>
              <w:spacing w:after="0" w:line="240" w:lineRule="auto"/>
              <w:rPr>
                <w:rFonts w:ascii="Trebuchet MS" w:eastAsia="Times New Roman" w:hAnsi="Trebuchet MS" w:cs="Times New Roman"/>
                <w:sz w:val="19"/>
                <w:szCs w:val="19"/>
              </w:rPr>
            </w:pPr>
            <w:r w:rsidRPr="003016AB">
              <w:rPr>
                <w:rFonts w:ascii="Trebuchet MS" w:eastAsia="Times New Roman" w:hAnsi="Trebuchet MS" w:cs="Times New Roman"/>
                <w:sz w:val="19"/>
                <w:szCs w:val="19"/>
              </w:rPr>
              <w:t xml:space="preserve">  </w:t>
            </w:r>
          </w:p>
        </w:tc>
      </w:tr>
      <w:tr w:rsidR="003016AB" w:rsidTr="003016AB">
        <w:tc>
          <w:tcPr>
            <w:tcW w:w="0" w:type="auto"/>
            <w:tcBorders>
              <w:top w:val="nil"/>
              <w:left w:val="nil"/>
              <w:bottom w:val="nil"/>
              <w:right w:val="nil"/>
            </w:tcBorders>
            <w:vAlign w:val="center"/>
            <w:hideMark/>
          </w:tcPr>
          <w:tbl>
            <w:tblPr>
              <w:tblW w:w="0" w:type="auto"/>
              <w:jc w:val="center"/>
              <w:tblCellSpacing w:w="15" w:type="dxa"/>
              <w:tblCellMar>
                <w:top w:w="15" w:type="dxa"/>
                <w:left w:w="15" w:type="dxa"/>
                <w:bottom w:w="15" w:type="dxa"/>
                <w:right w:w="15" w:type="dxa"/>
              </w:tblCellMar>
              <w:tblLook w:val="04A0"/>
            </w:tblPr>
            <w:tblGrid>
              <w:gridCol w:w="96"/>
            </w:tblGrid>
            <w:tr w:rsidR="003016AB">
              <w:trPr>
                <w:tblCellSpacing w:w="15" w:type="dxa"/>
                <w:jc w:val="center"/>
              </w:trPr>
              <w:tc>
                <w:tcPr>
                  <w:tcW w:w="0" w:type="auto"/>
                  <w:vAlign w:val="center"/>
                  <w:hideMark/>
                </w:tcPr>
                <w:p w:rsidR="003016AB" w:rsidRDefault="003016AB">
                  <w:pPr>
                    <w:rPr>
                      <w:rFonts w:ascii="Trebuchet MS" w:hAnsi="Trebuchet MS"/>
                      <w:sz w:val="19"/>
                      <w:szCs w:val="19"/>
                    </w:rPr>
                  </w:pPr>
                </w:p>
              </w:tc>
            </w:tr>
          </w:tbl>
          <w:p w:rsidR="003016AB" w:rsidRPr="003016AB" w:rsidRDefault="003016AB" w:rsidP="003016AB">
            <w:pPr>
              <w:spacing w:after="0" w:line="240" w:lineRule="auto"/>
              <w:rPr>
                <w:rFonts w:ascii="Trebuchet MS" w:eastAsia="Times New Roman" w:hAnsi="Trebuchet MS" w:cs="Times New Roman"/>
                <w:sz w:val="19"/>
                <w:szCs w:val="19"/>
              </w:rPr>
            </w:pPr>
          </w:p>
        </w:tc>
      </w:tr>
    </w:tbl>
    <w:p w:rsidR="003016AB" w:rsidRDefault="003016AB"/>
    <w:sectPr w:rsidR="003016AB" w:rsidSect="00570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16AB"/>
    <w:rsid w:val="003016AB"/>
    <w:rsid w:val="003921DE"/>
    <w:rsid w:val="005705BB"/>
    <w:rsid w:val="008F572B"/>
    <w:rsid w:val="00EA6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BB"/>
  </w:style>
  <w:style w:type="paragraph" w:styleId="Heading1">
    <w:name w:val="heading 1"/>
    <w:basedOn w:val="Normal"/>
    <w:link w:val="Heading1Char"/>
    <w:uiPriority w:val="9"/>
    <w:qFormat/>
    <w:rsid w:val="00301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16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6A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01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016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016AB"/>
    <w:rPr>
      <w:color w:val="3355BB"/>
      <w:u w:val="single"/>
    </w:rPr>
  </w:style>
  <w:style w:type="character" w:customStyle="1" w:styleId="bold">
    <w:name w:val="bold"/>
    <w:basedOn w:val="DefaultParagraphFont"/>
    <w:rsid w:val="003016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wex/to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http://www.law.cornell.edu/wex/criminal_l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nnidatabase.org/about-nni" TargetMode="External"/><Relationship Id="rId5" Type="http://schemas.openxmlformats.org/officeDocument/2006/relationships/control" Target="activeX/activeX1.xml"/><Relationship Id="rId10" Type="http://schemas.openxmlformats.org/officeDocument/2006/relationships/hyperlink" Target="http://nnidatabase.org/db/linked-resources/topics-brief-sovereign-immunity" TargetMode="External"/><Relationship Id="rId4" Type="http://schemas.openxmlformats.org/officeDocument/2006/relationships/image" Target="media/image1.wmf"/><Relationship Id="rId9" Type="http://schemas.openxmlformats.org/officeDocument/2006/relationships/hyperlink" Target="http://www.law.cornell.edu/uscode/text/28/part-VI/chapter-171"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2015-10-12T15:00:00Z</dcterms:created>
  <dcterms:modified xsi:type="dcterms:W3CDTF">2015-10-12T21:04:00Z</dcterms:modified>
</cp:coreProperties>
</file>