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B" w:rsidRDefault="005D6516"/>
    <w:p w:rsidR="005D6516" w:rsidRDefault="005D6516"/>
    <w:p w:rsidR="005D6516" w:rsidRDefault="005D6516">
      <w:pPr>
        <w:rPr>
          <w:sz w:val="24"/>
          <w:szCs w:val="24"/>
        </w:rPr>
      </w:pPr>
      <w:r>
        <w:rPr>
          <w:sz w:val="24"/>
          <w:szCs w:val="24"/>
        </w:rPr>
        <w:t>As part of the audit of different audit areas, auditors should be alert for the possibility of unrecorded liabilities.   For each of the following audit areas or accounts, describe a liability that can be uncovered and the audit procedures that can uncover it:</w:t>
      </w:r>
    </w:p>
    <w:p w:rsidR="005D6516" w:rsidRDefault="005D6516" w:rsidP="005D65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Minutes of the  board of directors meetings</w:t>
      </w:r>
    </w:p>
    <w:p w:rsidR="005D6516" w:rsidRDefault="005D6516" w:rsidP="005D65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 and buildings</w:t>
      </w:r>
    </w:p>
    <w:p w:rsidR="005D6516" w:rsidRDefault="005D6516" w:rsidP="005D65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 expense</w:t>
      </w:r>
    </w:p>
    <w:p w:rsidR="005D6516" w:rsidRDefault="005D6516" w:rsidP="005D65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 expense</w:t>
      </w:r>
    </w:p>
    <w:p w:rsidR="005D6516" w:rsidRDefault="005D6516" w:rsidP="005D65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Cash surrender value of life insurance</w:t>
      </w:r>
    </w:p>
    <w:p w:rsidR="005D6516" w:rsidRDefault="005D6516" w:rsidP="005D65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Cash in the bank</w:t>
      </w:r>
    </w:p>
    <w:p w:rsidR="005D6516" w:rsidRPr="005D6516" w:rsidRDefault="005D6516" w:rsidP="005D65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Officers’ travel and entertainment expenses</w:t>
      </w:r>
      <w:bookmarkStart w:id="0" w:name="_GoBack"/>
      <w:bookmarkEnd w:id="0"/>
    </w:p>
    <w:sectPr w:rsidR="005D6516" w:rsidRPr="005D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19F6"/>
    <w:multiLevelType w:val="hybridMultilevel"/>
    <w:tmpl w:val="D52A5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16"/>
    <w:rsid w:val="005D6516"/>
    <w:rsid w:val="006A74A8"/>
    <w:rsid w:val="007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2014-05-22T00:26:00Z</dcterms:created>
  <dcterms:modified xsi:type="dcterms:W3CDTF">2014-05-22T00:35:00Z</dcterms:modified>
</cp:coreProperties>
</file>