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1E" w:rsidRPr="00FE28B5" w:rsidRDefault="00FE28B5" w:rsidP="00FE28B5">
      <w:pPr>
        <w:pStyle w:val="ListParagraph"/>
        <w:numPr>
          <w:ilvl w:val="0"/>
          <w:numId w:val="2"/>
        </w:numPr>
        <w:rPr>
          <w:b/>
        </w:rPr>
      </w:pPr>
      <w:r w:rsidRPr="00FE28B5">
        <w:rPr>
          <w:b/>
        </w:rPr>
        <w:t>Please tell me what these number mean.  Interpret the financial ratio of this company</w:t>
      </w:r>
      <w:r w:rsidR="0025201C">
        <w:rPr>
          <w:b/>
        </w:rPr>
        <w:t xml:space="preserve"> for 2009, 2010 and 2011</w:t>
      </w:r>
    </w:p>
    <w:p w:rsidR="00FE28B5" w:rsidRDefault="00FE28B5" w:rsidP="00FE28B5">
      <w:pPr>
        <w:pStyle w:val="Heading3"/>
        <w:rPr>
          <w:color w:val="FFFFFF"/>
        </w:rPr>
      </w:pPr>
      <w:r w:rsidRPr="00FE28B5">
        <w:rPr>
          <w:rFonts w:ascii="Verdana" w:eastAsiaTheme="minorEastAsia" w:hAnsi="Verdana" w:cstheme="minorBidi"/>
          <w:bCs w:val="0"/>
          <w:color w:val="auto"/>
        </w:rPr>
        <w:t xml:space="preserve">Medical group </w:t>
      </w:r>
      <w:r>
        <w:rPr>
          <w:rFonts w:ascii="Verdana" w:eastAsiaTheme="minorEastAsia" w:hAnsi="Verdana" w:cstheme="minorBidi"/>
          <w:bCs w:val="0"/>
          <w:color w:val="auto"/>
        </w:rPr>
        <w:t>hospital</w:t>
      </w:r>
    </w:p>
    <w:p w:rsidR="00FE28B5" w:rsidRDefault="00FE28B5" w:rsidP="00FE28B5">
      <w:pPr>
        <w:pStyle w:val="Heading3"/>
        <w:rPr>
          <w:color w:val="FFFFFF"/>
        </w:rPr>
      </w:pPr>
      <w:proofErr w:type="spellStart"/>
      <w:proofErr w:type="gramStart"/>
      <w:r w:rsidRPr="00FE28B5">
        <w:rPr>
          <w:color w:val="FFFFFF"/>
        </w:rPr>
        <w:t>nual</w:t>
      </w:r>
      <w:proofErr w:type="spellEnd"/>
      <w:proofErr w:type="gramEnd"/>
      <w:r>
        <w:rPr>
          <w:color w:val="FFFFFF"/>
        </w:rPr>
        <w:t xml:space="preserve"> Income Statement (values in 000's)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776"/>
        <w:gridCol w:w="1615"/>
        <w:gridCol w:w="1615"/>
        <w:gridCol w:w="1615"/>
        <w:gridCol w:w="1630"/>
      </w:tblGrid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Period Ending: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Trend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12/31/2011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12/31/2009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12/31/2008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Liquidity Ratios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Current Ratio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9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8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133%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134%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84%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90%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Quick Ratio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9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8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133%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134%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84%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90%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Cash Ratio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9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9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10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9%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20%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9%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11%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Profitability Ratios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Gross Margin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35%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35%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35%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36%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Operating Margin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22%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22%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22%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23%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Pre-Tax Margin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22%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22%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22%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23%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Profit Margin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21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16%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Pre-Tax ROE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21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20%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21%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25%</w:t>
            </w:r>
          </w:p>
        </w:tc>
      </w:tr>
      <w:tr w:rsidR="00FE28B5" w:rsidTr="00FE2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After Tax ROE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"/>
            </w:tblGrid>
            <w:tr w:rsidR="00FE28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"/>
                    <w:gridCol w:w="96"/>
                    <w:gridCol w:w="96"/>
                    <w:gridCol w:w="96"/>
                  </w:tblGrid>
                  <w:tr w:rsidR="00FE28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8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4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6"/>
                        </w:tblGrid>
                        <w:tr w:rsidR="00FE28B5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90" w:type="dxa"/>
                              <w:shd w:val="clear" w:color="auto" w:fill="99CBE5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E28B5" w:rsidRDefault="00FE28B5"/>
                          </w:tc>
                        </w:tr>
                        <w:tr w:rsidR="00FE28B5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3C3C3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28B5" w:rsidRDefault="00FE28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28B5" w:rsidRDefault="00FE28B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E28B5" w:rsidRDefault="00FE28B5">
                  <w:pPr>
                    <w:rPr>
                      <w:sz w:val="24"/>
                    </w:rPr>
                  </w:pPr>
                </w:p>
              </w:tc>
            </w:tr>
          </w:tbl>
          <w:p w:rsidR="00FE28B5" w:rsidRDefault="00FE28B5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13%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14%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15%</w:t>
            </w:r>
          </w:p>
        </w:tc>
        <w:tc>
          <w:tcPr>
            <w:tcW w:w="0" w:type="auto"/>
            <w:vAlign w:val="center"/>
            <w:hideMark/>
          </w:tcPr>
          <w:p w:rsidR="00FE28B5" w:rsidRDefault="00FE28B5">
            <w:pPr>
              <w:rPr>
                <w:sz w:val="24"/>
              </w:rPr>
            </w:pPr>
            <w:r>
              <w:t>18%</w:t>
            </w:r>
          </w:p>
        </w:tc>
      </w:tr>
    </w:tbl>
    <w:p w:rsidR="00FE28B5" w:rsidRDefault="00FE28B5" w:rsidP="00FE28B5">
      <w:pPr>
        <w:shd w:val="clear" w:color="auto" w:fill="FFFFFF"/>
        <w:rPr>
          <w:color w:val="000000"/>
        </w:rPr>
      </w:pPr>
    </w:p>
    <w:p w:rsidR="00FA6A04" w:rsidRPr="00FE28B5" w:rsidRDefault="00FE28B5" w:rsidP="00DF331E">
      <w:pPr>
        <w:pStyle w:val="ListParagraph"/>
        <w:numPr>
          <w:ilvl w:val="0"/>
          <w:numId w:val="2"/>
        </w:numPr>
        <w:shd w:val="clear" w:color="auto" w:fill="FFFFFF"/>
        <w:rPr>
          <w:b/>
          <w:color w:val="000000"/>
        </w:rPr>
      </w:pPr>
      <w:r w:rsidRPr="00FE28B5">
        <w:rPr>
          <w:b/>
          <w:color w:val="000000"/>
        </w:rPr>
        <w:t>When comparing the</w:t>
      </w:r>
      <w:r w:rsidR="00A66AF5">
        <w:rPr>
          <w:b/>
          <w:color w:val="000000"/>
        </w:rPr>
        <w:t xml:space="preserve"> Medical</w:t>
      </w:r>
      <w:r w:rsidRPr="00FE28B5">
        <w:rPr>
          <w:b/>
          <w:color w:val="000000"/>
        </w:rPr>
        <w:t xml:space="preserve"> hospital </w:t>
      </w:r>
      <w:proofErr w:type="gramStart"/>
      <w:r w:rsidRPr="00FE28B5">
        <w:rPr>
          <w:b/>
          <w:color w:val="000000"/>
        </w:rPr>
        <w:t xml:space="preserve">number </w:t>
      </w:r>
      <w:r w:rsidR="0025201C">
        <w:rPr>
          <w:b/>
          <w:color w:val="000000"/>
        </w:rPr>
        <w:t xml:space="preserve"> for</w:t>
      </w:r>
      <w:proofErr w:type="gramEnd"/>
      <w:r w:rsidR="0025201C">
        <w:rPr>
          <w:b/>
          <w:color w:val="000000"/>
        </w:rPr>
        <w:t xml:space="preserve"> the year of 2009. 2010 </w:t>
      </w:r>
      <w:r w:rsidRPr="00FE28B5">
        <w:rPr>
          <w:b/>
          <w:color w:val="000000"/>
        </w:rPr>
        <w:t>with the national norm</w:t>
      </w:r>
      <w:r>
        <w:rPr>
          <w:b/>
          <w:color w:val="000000"/>
        </w:rPr>
        <w:t xml:space="preserve"> number for the year 2009 and </w:t>
      </w:r>
      <w:proofErr w:type="gramStart"/>
      <w:r>
        <w:rPr>
          <w:b/>
          <w:color w:val="000000"/>
        </w:rPr>
        <w:t xml:space="preserve">2010 </w:t>
      </w:r>
      <w:r w:rsidRPr="00FE28B5">
        <w:rPr>
          <w:b/>
          <w:color w:val="000000"/>
        </w:rPr>
        <w:t xml:space="preserve"> What</w:t>
      </w:r>
      <w:proofErr w:type="gramEnd"/>
      <w:r w:rsidRPr="00FE28B5">
        <w:rPr>
          <w:b/>
          <w:color w:val="000000"/>
        </w:rPr>
        <w:t xml:space="preserve"> does the number mean? </w:t>
      </w:r>
      <w:r w:rsidR="00A66AF5">
        <w:rPr>
          <w:b/>
          <w:color w:val="000000"/>
        </w:rPr>
        <w:t xml:space="preserve">How does the hospital compare with the national </w:t>
      </w:r>
      <w:proofErr w:type="gramStart"/>
      <w:r w:rsidR="00A66AF5">
        <w:rPr>
          <w:b/>
          <w:color w:val="000000"/>
        </w:rPr>
        <w:t>norm.</w:t>
      </w:r>
      <w:proofErr w:type="gramEnd"/>
    </w:p>
    <w:p w:rsidR="00DF331E" w:rsidRPr="00DF331E" w:rsidRDefault="00DF331E" w:rsidP="00DF331E">
      <w:pPr>
        <w:pStyle w:val="Heading2"/>
        <w:rPr>
          <w:sz w:val="22"/>
          <w:szCs w:val="22"/>
        </w:rPr>
      </w:pPr>
      <w:r w:rsidRPr="00DF331E">
        <w:rPr>
          <w:sz w:val="22"/>
          <w:szCs w:val="22"/>
        </w:rPr>
        <w:t>Industry Financial Ratios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7"/>
        <w:gridCol w:w="1047"/>
      </w:tblGrid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pPr>
              <w:pStyle w:val="NormalWeb"/>
              <w:jc w:val="center"/>
              <w:rPr>
                <w:b/>
                <w:bCs/>
                <w:sz w:val="22"/>
              </w:rPr>
            </w:pPr>
            <w:r w:rsidRPr="00DF331E">
              <w:rPr>
                <w:b/>
                <w:bCs/>
                <w:sz w:val="22"/>
                <w:szCs w:val="22"/>
              </w:rPr>
              <w:t>Hospitals, nursing, and residential care facilities</w:t>
            </w:r>
          </w:p>
          <w:p w:rsidR="00DF331E" w:rsidRPr="00DF331E" w:rsidRDefault="00DF331E" w:rsidP="00AE31DF">
            <w:pPr>
              <w:jc w:val="center"/>
              <w:rPr>
                <w:b/>
                <w:bCs/>
              </w:rPr>
            </w:pPr>
            <w:r w:rsidRPr="00DF331E">
              <w:rPr>
                <w:b/>
                <w:bCs/>
                <w:szCs w:val="22"/>
              </w:rPr>
              <w:t xml:space="preserve">Corp Average Financial Ratios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pPr>
              <w:jc w:val="center"/>
              <w:rPr>
                <w:b/>
                <w:bCs/>
              </w:rPr>
            </w:pPr>
            <w:r w:rsidRPr="00DF331E">
              <w:rPr>
                <w:b/>
                <w:bCs/>
                <w:szCs w:val="22"/>
              </w:rPr>
              <w:t>2009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>
              <w:rPr>
                <w:szCs w:val="22"/>
              </w:rPr>
              <w:t xml:space="preserve">  </w:t>
            </w:r>
            <w:r w:rsidRPr="00DF331E">
              <w:rPr>
                <w:szCs w:val="22"/>
              </w:rPr>
              <w:t xml:space="preserve">Return on Sales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6.88%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 xml:space="preserve">Return on Assets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6.37%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 xml:space="preserve">Return on Net Worth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36.75%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lastRenderedPageBreak/>
              <w:t xml:space="preserve">Quick Ratio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1.18%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 xml:space="preserve">Current Ratio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1.48%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 xml:space="preserve">Inventory Turnover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999.03%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proofErr w:type="spellStart"/>
            <w:r w:rsidRPr="00DF331E">
              <w:rPr>
                <w:szCs w:val="22"/>
              </w:rPr>
              <w:t>Assets:Sales</w:t>
            </w:r>
            <w:proofErr w:type="spellEnd"/>
            <w:r w:rsidRPr="00DF331E">
              <w:rPr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1.08</w:t>
            </w:r>
          </w:p>
        </w:tc>
      </w:tr>
      <w:tr w:rsidR="00DF331E" w:rsidRPr="00DF331E" w:rsidTr="00AE3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 xml:space="preserve">Tot </w:t>
            </w:r>
            <w:proofErr w:type="spellStart"/>
            <w:r w:rsidRPr="00DF331E">
              <w:rPr>
                <w:szCs w:val="22"/>
              </w:rPr>
              <w:t>Liabilities:Net</w:t>
            </w:r>
            <w:proofErr w:type="spellEnd"/>
            <w:r w:rsidRPr="00DF331E">
              <w:rPr>
                <w:szCs w:val="22"/>
              </w:rPr>
              <w:t xml:space="preserve"> Worth </w:t>
            </w:r>
          </w:p>
        </w:tc>
        <w:tc>
          <w:tcPr>
            <w:tcW w:w="0" w:type="auto"/>
            <w:vAlign w:val="center"/>
            <w:hideMark/>
          </w:tcPr>
          <w:p w:rsidR="00DF331E" w:rsidRPr="00DF331E" w:rsidRDefault="00DF331E" w:rsidP="00AE31DF">
            <w:r w:rsidRPr="00DF331E">
              <w:rPr>
                <w:szCs w:val="22"/>
              </w:rPr>
              <w:t>4.77%</w:t>
            </w:r>
          </w:p>
        </w:tc>
      </w:tr>
    </w:tbl>
    <w:p w:rsidR="00FE28B5" w:rsidRDefault="00FE28B5">
      <w:pPr>
        <w:rPr>
          <w:b/>
        </w:rPr>
      </w:pPr>
    </w:p>
    <w:p w:rsidR="00DF331E" w:rsidRPr="00FE28B5" w:rsidRDefault="00FE28B5">
      <w:pPr>
        <w:rPr>
          <w:b/>
        </w:rPr>
      </w:pPr>
      <w:r w:rsidRPr="00FE28B5">
        <w:rPr>
          <w:b/>
        </w:rPr>
        <w:t>2010</w:t>
      </w:r>
    </w:p>
    <w:p w:rsidR="00FE28B5" w:rsidRDefault="00FE28B5">
      <w:r>
        <w:t>Quick ratio                   -29.13</w:t>
      </w:r>
    </w:p>
    <w:p w:rsidR="00FE28B5" w:rsidRDefault="00FE28B5">
      <w:r>
        <w:t>Current ration                 1.23:1</w:t>
      </w:r>
    </w:p>
    <w:p w:rsidR="00FE28B5" w:rsidRDefault="00FE28B5">
      <w:r>
        <w:t>ROA                            0.18:1</w:t>
      </w:r>
    </w:p>
    <w:p w:rsidR="00FE28B5" w:rsidRDefault="00FE28B5">
      <w:r>
        <w:t>Debt to Assets             76%</w:t>
      </w:r>
    </w:p>
    <w:p w:rsidR="00FE28B5" w:rsidRDefault="00FE28B5">
      <w:r>
        <w:t>Operating Profit             9%</w:t>
      </w:r>
    </w:p>
    <w:p w:rsidR="00FE28B5" w:rsidRDefault="00FE28B5">
      <w:r>
        <w:t>Inventory Turnover       999.03%</w:t>
      </w:r>
    </w:p>
    <w:p w:rsidR="00FE28B5" w:rsidRDefault="00FE28B5">
      <w:r>
        <w:t>Total asset                    1.05</w:t>
      </w:r>
    </w:p>
    <w:p w:rsidR="00FE28B5" w:rsidRDefault="00FE28B5">
      <w:r>
        <w:t>Total Liabilities               4.70%</w:t>
      </w:r>
    </w:p>
    <w:p w:rsidR="0025201C" w:rsidRDefault="0025201C"/>
    <w:p w:rsidR="0025201C" w:rsidRPr="0025201C" w:rsidRDefault="0025201C" w:rsidP="0025201C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b/>
          <w:sz w:val="24"/>
        </w:rPr>
      </w:pPr>
      <w:r w:rsidRPr="0025201C">
        <w:rPr>
          <w:b/>
        </w:rPr>
        <w:t xml:space="preserve"> Basic on the financial ratios of the</w:t>
      </w:r>
      <w:r>
        <w:rPr>
          <w:b/>
        </w:rPr>
        <w:t xml:space="preserve"> Medical</w:t>
      </w:r>
      <w:r w:rsidR="00A66AF5">
        <w:rPr>
          <w:b/>
        </w:rPr>
        <w:t xml:space="preserve"> hospital</w:t>
      </w:r>
      <w:r w:rsidRPr="0025201C">
        <w:rPr>
          <w:b/>
        </w:rPr>
        <w:t xml:space="preserve"> </w:t>
      </w:r>
      <w:proofErr w:type="gramStart"/>
      <w:r w:rsidRPr="0025201C">
        <w:rPr>
          <w:b/>
        </w:rPr>
        <w:t xml:space="preserve">company  </w:t>
      </w:r>
      <w:r w:rsidRPr="0025201C">
        <w:rPr>
          <w:rFonts w:cs="Times New Roman"/>
          <w:b/>
          <w:sz w:val="24"/>
        </w:rPr>
        <w:t>How</w:t>
      </w:r>
      <w:proofErr w:type="gramEnd"/>
      <w:r w:rsidRPr="0025201C">
        <w:rPr>
          <w:rFonts w:cs="Times New Roman"/>
          <w:b/>
          <w:sz w:val="24"/>
        </w:rPr>
        <w:t xml:space="preserve"> could the company improve?  What suggestions </w:t>
      </w:r>
      <w:r w:rsidR="00A66AF5">
        <w:rPr>
          <w:rFonts w:cs="Times New Roman"/>
          <w:b/>
          <w:sz w:val="24"/>
        </w:rPr>
        <w:t xml:space="preserve">should be </w:t>
      </w:r>
      <w:proofErr w:type="gramStart"/>
      <w:r w:rsidR="00A66AF5">
        <w:rPr>
          <w:rFonts w:cs="Times New Roman"/>
          <w:b/>
          <w:sz w:val="24"/>
        </w:rPr>
        <w:t xml:space="preserve">given </w:t>
      </w:r>
      <w:r w:rsidRPr="0025201C">
        <w:rPr>
          <w:rFonts w:cs="Times New Roman"/>
          <w:b/>
          <w:sz w:val="24"/>
        </w:rPr>
        <w:t xml:space="preserve"> to</w:t>
      </w:r>
      <w:proofErr w:type="gramEnd"/>
      <w:r w:rsidRPr="0025201C">
        <w:rPr>
          <w:rFonts w:cs="Times New Roman"/>
          <w:b/>
          <w:sz w:val="24"/>
        </w:rPr>
        <w:t xml:space="preserve"> the company?</w:t>
      </w:r>
    </w:p>
    <w:p w:rsidR="0025201C" w:rsidRPr="0025201C" w:rsidRDefault="0025201C" w:rsidP="0025201C">
      <w:pPr>
        <w:pStyle w:val="ListParagraph"/>
      </w:pPr>
    </w:p>
    <w:sectPr w:rsidR="0025201C" w:rsidRPr="0025201C" w:rsidSect="0019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33" w:rsidRDefault="00182333" w:rsidP="00FA6A04">
      <w:pPr>
        <w:spacing w:after="0"/>
      </w:pPr>
      <w:r>
        <w:separator/>
      </w:r>
    </w:p>
  </w:endnote>
  <w:endnote w:type="continuationSeparator" w:id="0">
    <w:p w:rsidR="00182333" w:rsidRDefault="00182333" w:rsidP="00FA6A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33" w:rsidRDefault="00182333" w:rsidP="00FA6A04">
      <w:pPr>
        <w:spacing w:after="0"/>
      </w:pPr>
      <w:r>
        <w:separator/>
      </w:r>
    </w:p>
  </w:footnote>
  <w:footnote w:type="continuationSeparator" w:id="0">
    <w:p w:rsidR="00182333" w:rsidRDefault="00182333" w:rsidP="00FA6A0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637"/>
    <w:multiLevelType w:val="hybridMultilevel"/>
    <w:tmpl w:val="31D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0DA4"/>
    <w:multiLevelType w:val="hybridMultilevel"/>
    <w:tmpl w:val="028C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1E"/>
    <w:rsid w:val="000742F6"/>
    <w:rsid w:val="0017725A"/>
    <w:rsid w:val="00182333"/>
    <w:rsid w:val="001919C1"/>
    <w:rsid w:val="0025201C"/>
    <w:rsid w:val="0092410A"/>
    <w:rsid w:val="00A32DA0"/>
    <w:rsid w:val="00A66AF5"/>
    <w:rsid w:val="00DF331E"/>
    <w:rsid w:val="00FA6A04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1E"/>
    <w:pPr>
      <w:spacing w:line="240" w:lineRule="auto"/>
    </w:pPr>
    <w:rPr>
      <w:rFonts w:ascii="Verdana" w:eastAsiaTheme="minorEastAsia" w:hAnsi="Verdana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F33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3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F3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6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6A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A04"/>
    <w:rPr>
      <w:rFonts w:ascii="Verdana" w:eastAsiaTheme="minorEastAsia" w:hAnsi="Verdana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A6A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A04"/>
    <w:rPr>
      <w:rFonts w:ascii="Verdana" w:eastAsiaTheme="minorEastAsia" w:hAnsi="Verdana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E28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E28B5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dcterms:created xsi:type="dcterms:W3CDTF">2012-09-23T16:23:00Z</dcterms:created>
  <dcterms:modified xsi:type="dcterms:W3CDTF">2012-09-23T18:20:00Z</dcterms:modified>
</cp:coreProperties>
</file>