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Presented here are the comparative balance sheets of </w:t>
            </w:r>
            <w:proofErr w:type="spellStart"/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Hames</w:t>
            </w:r>
            <w:proofErr w:type="spellEnd"/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Inc., at December 31, 2011 and 2010. Sales for the year ended December 31, 2011, totaled $580,000.</w: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7E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3E7EAB" w:rsidRPr="003E7EAB" w:rsidTr="003E7EAB">
        <w:trPr>
          <w:tblCellSpacing w:w="0" w:type="dxa"/>
        </w:trPr>
        <w:tc>
          <w:tcPr>
            <w:tcW w:w="5000" w:type="pct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HAMES, INC.</w:t>
            </w: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Balance Sheets</w:t>
            </w: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December 31, 2011 and 2010</w: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66"/>
        <w:gridCol w:w="86"/>
        <w:gridCol w:w="100"/>
        <w:gridCol w:w="717"/>
        <w:gridCol w:w="1527"/>
        <w:gridCol w:w="87"/>
        <w:gridCol w:w="100"/>
        <w:gridCol w:w="650"/>
        <w:gridCol w:w="67"/>
      </w:tblGrid>
      <w:tr w:rsidR="003E7EAB" w:rsidRPr="003E7EAB" w:rsidTr="003E7EAB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gridSpan w:val="4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00" w:type="pct"/>
            <w:gridSpan w:val="4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Cash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Accounts receivable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78,000</w:t>
            </w:r>
          </w:p>
        </w:tc>
        <w:tc>
          <w:tcPr>
            <w:tcW w:w="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2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Merchandise inventory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99,000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Total current assets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202,000</w:t>
            </w:r>
          </w:p>
        </w:tc>
        <w:tc>
          <w:tcPr>
            <w:tcW w:w="20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  <w:tc>
          <w:tcPr>
            <w:tcW w:w="2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Land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Plant and equipment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2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Less: Accumulated depreciation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(65,000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(60,000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assets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312,000</w:t>
            </w:r>
          </w:p>
        </w:tc>
        <w:tc>
          <w:tcPr>
            <w:tcW w:w="20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2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Liabilities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Short-term debt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2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Accounts payable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Other accrued liabilities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00" w:type="pct"/>
            <w:vAlign w:val="center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250" w:type="pct"/>
            <w:vAlign w:val="center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Total current liabilities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83,000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Long-term debt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2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gramStart"/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liabilities</w:t>
            </w: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116,000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113,000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Owners’ Equity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Common stock, no par, 100,000 shares authorized</w:t>
            </w: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   40,000 and 25,000 shares issued, respectively</w:t>
            </w:r>
          </w:p>
        </w:tc>
        <w:tc>
          <w:tcPr>
            <w:tcW w:w="100" w:type="pct"/>
            <w:shd w:val="clear" w:color="auto" w:fill="F7F7F7"/>
            <w:vAlign w:val="bottom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bottom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50" w:type="pct"/>
            <w:shd w:val="clear" w:color="auto" w:fill="F7F7F7"/>
            <w:vAlign w:val="bottom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74,000</w:t>
            </w:r>
          </w:p>
        </w:tc>
        <w:tc>
          <w:tcPr>
            <w:tcW w:w="200" w:type="pct"/>
            <w:shd w:val="clear" w:color="auto" w:fill="F7F7F7"/>
            <w:vAlign w:val="bottom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bottom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bottom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bottom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59,000</w:t>
            </w:r>
          </w:p>
        </w:tc>
        <w:tc>
          <w:tcPr>
            <w:tcW w:w="250" w:type="pct"/>
            <w:shd w:val="clear" w:color="auto" w:fill="F7F7F7"/>
            <w:vAlign w:val="bottom"/>
            <w:hideMark/>
          </w:tcPr>
          <w:p w:rsidR="003E7EAB" w:rsidRPr="003E7EAB" w:rsidRDefault="003E7EAB" w:rsidP="003E7EAB">
            <w:pPr>
              <w:pBdr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Retained earnings: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Beginning balance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Net income for the year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2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Dividends for the year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(20,000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(5,000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Ending balance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20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108,000</w:t>
            </w:r>
          </w:p>
        </w:tc>
        <w:tc>
          <w:tcPr>
            <w:tcW w:w="2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single" w:sz="8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Total owners’ equity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167,000</w:t>
            </w:r>
          </w:p>
        </w:tc>
        <w:tc>
          <w:tcPr>
            <w:tcW w:w="250" w:type="pct"/>
            <w:shd w:val="clear" w:color="auto" w:fill="F7F7F7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320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liabilities and owners’ equity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312,000</w:t>
            </w:r>
          </w:p>
        </w:tc>
        <w:tc>
          <w:tcPr>
            <w:tcW w:w="20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</w:t>
            </w:r>
          </w:p>
        </w:tc>
        <w:tc>
          <w:tcPr>
            <w:tcW w:w="3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250" w:type="pct"/>
            <w:vAlign w:val="center"/>
            <w:hideMark/>
          </w:tcPr>
          <w:p w:rsidR="003E7EAB" w:rsidRPr="003E7EAB" w:rsidRDefault="003E7EAB" w:rsidP="003E7EAB">
            <w:pPr>
              <w:pBdr>
                <w:top w:val="single" w:sz="8" w:space="0" w:color="336699"/>
                <w:bottom w:val="double" w:sz="6" w:space="0" w:color="336699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7E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Requirement 1: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Calculate ROI for 2011. </w:t>
            </w:r>
            <w:r w:rsidRPr="003E7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percentage answer to two decimal places. Omit the "%" sign in your response.)</w: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7E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3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6"/>
        <w:gridCol w:w="1608"/>
        <w:gridCol w:w="456"/>
      </w:tblGrid>
      <w:tr w:rsidR="003E7EAB" w:rsidRPr="003E7EAB" w:rsidTr="003E7EAB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ROI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38.25pt;height:18pt" o:ole="">
                  <v:imagedata r:id="rId4" o:title=""/>
                </v:shape>
                <w:control r:id="rId5" w:name="DefaultOcxName" w:shapeid="_x0000_i1067"/>
              </w:objec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%</w: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Requirement 2: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Calculate ROE for 2011. </w:t>
            </w:r>
            <w:r w:rsidRPr="003E7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percentage answer to one decimal place. Omit the "%" sign in your response.)</w: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3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2"/>
        <w:gridCol w:w="1549"/>
        <w:gridCol w:w="439"/>
      </w:tblGrid>
      <w:tr w:rsidR="003E7EAB" w:rsidRPr="003E7EAB" w:rsidTr="003E7EAB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ROE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66" type="#_x0000_t75" style="width:38.25pt;height:18pt" o:ole="">
                  <v:imagedata r:id="rId4" o:title=""/>
                </v:shape>
                <w:control r:id="rId6" w:name="DefaultOcxName1" w:shapeid="_x0000_i1066"/>
              </w:objec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%</w: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7E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Requirement 3: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Calculate working capital at December 31, 2011.</w:t>
            </w:r>
            <w:r w:rsidRPr="003E7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(Omit the "$" sign in your response.)</w: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40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2025"/>
      </w:tblGrid>
      <w:tr w:rsidR="003E7EAB" w:rsidRPr="003E7EAB" w:rsidTr="003E7EAB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Working capital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 </w:t>
            </w: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65" type="#_x0000_t75" style="width:38.25pt;height:18pt" o:ole="">
                  <v:imagedata r:id="rId4" o:title=""/>
                </v:shape>
                <w:control r:id="rId7" w:name="DefaultOcxName2" w:shapeid="_x0000_i1065"/>
              </w:object>
            </w: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7E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Requirement 4: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Calculate the current ratio at December 31, 2011. </w:t>
            </w:r>
            <w:r w:rsidRPr="003E7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 to two decimal places.)</w: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75"/>
        <w:gridCol w:w="1875"/>
      </w:tblGrid>
      <w:tr w:rsidR="003E7EAB" w:rsidRPr="003E7EAB" w:rsidTr="003E7EAB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Current ratio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64" type="#_x0000_t75" style="width:38.25pt;height:18pt" o:ole="">
                  <v:imagedata r:id="rId4" o:title=""/>
                </v:shape>
                <w:control r:id="rId8" w:name="DefaultOcxName3" w:shapeid="_x0000_i1064"/>
              </w:object>
            </w: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Requirement 5: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Calculate the acid-test ratio at December 31, 2011. </w:t>
            </w:r>
            <w:r w:rsidRPr="003E7E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 to two decimal places.)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75"/>
        <w:gridCol w:w="1875"/>
      </w:tblGrid>
      <w:tr w:rsidR="003E7EAB" w:rsidRPr="003E7EAB" w:rsidTr="003E7EAB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Acid test ratio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63" type="#_x0000_t75" style="width:38.25pt;height:18pt" o:ole="">
                  <v:imagedata r:id="rId4" o:title=""/>
                </v:shape>
                <w:control r:id="rId9" w:name="DefaultOcxName4" w:shapeid="_x0000_i1063"/>
              </w:object>
            </w: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Requirement 6: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Assume that on December 31, 2011, the treasurer of </w:t>
            </w:r>
            <w:proofErr w:type="spellStart"/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Hames</w:t>
            </w:r>
            <w:proofErr w:type="spellEnd"/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Inc., decided to pay $15,000 of accounts payable. What impact, if any, this payment will have on the answers you calculated for requirements 1-4 (increase, decrease, or no effect)</w: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ROI for the year ended December 31, 2011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71" type="#_x0000_t75" style="width:111pt;height:18pt" o:ole="">
                  <v:imagedata r:id="rId10" o:title=""/>
                </v:shape>
                <w:control r:id="rId11" w:name="DefaultOcxName5" w:shapeid="_x0000_i1071"/>
              </w:objec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7E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ROE for the year ended December 31, 2011: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72" type="#_x0000_t75" style="width:111pt;height:18pt" o:ole="">
                  <v:imagedata r:id="rId12" o:title=""/>
                </v:shape>
                <w:control r:id="rId13" w:name="DefaultOcxName6" w:shapeid="_x0000_i1072"/>
              </w:objec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7E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(c)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capital as at December 31, 2011: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73" type="#_x0000_t75" style="width:111pt;height:18pt" o:ole="">
                  <v:imagedata r:id="rId14" o:title=""/>
                </v:shape>
                <w:control r:id="rId15" w:name="DefaultOcxName7" w:shapeid="_x0000_i1073"/>
              </w:objec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7E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ratio as at December 31, 2011: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74" type="#_x0000_t75" style="width:111pt;height:18pt" o:ole="">
                  <v:imagedata r:id="rId16" o:title=""/>
                </v:shape>
                <w:control r:id="rId17" w:name="DefaultOcxName8" w:shapeid="_x0000_i1074"/>
              </w:objec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7E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Requirement 7: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Assume that instead of paying $15,000 of accounts payable on December 31, 2011. </w:t>
            </w:r>
            <w:proofErr w:type="spellStart"/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Hames</w:t>
            </w:r>
            <w:proofErr w:type="spellEnd"/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Inc</w:t>
            </w:r>
            <w:proofErr w:type="gramStart"/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collected $15,000 of accounts receivable. What impact, if any, this receipt will have on the answers you calculated for requirements 1-4 (increase, decrease, or no effect)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ROI for the year ended December 31, 2011: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8" type="#_x0000_t75" style="width:111pt;height:18pt" o:ole="">
                  <v:imagedata r:id="rId18" o:title=""/>
                </v:shape>
                <w:control r:id="rId19" w:name="DefaultOcxName9" w:shapeid="_x0000_i1058"/>
              </w:objec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7EAB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  <w:r w:rsidRPr="003E7EAB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ROE for the year ended December 31, 2011: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7" type="#_x0000_t75" style="width:111pt;height:18pt" o:ole="">
                  <v:imagedata r:id="rId20" o:title=""/>
                </v:shape>
                <w:control r:id="rId21" w:name="DefaultOcxName10" w:shapeid="_x0000_i1057"/>
              </w:objec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7E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(c)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capital as at December 31, 2011: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56" type="#_x0000_t75" style="width:111pt;height:18pt" o:ole="">
                  <v:imagedata r:id="rId22" o:title=""/>
                </v:shape>
                <w:control r:id="rId23" w:name="DefaultOcxName11" w:shapeid="_x0000_i1056"/>
              </w:object>
            </w:r>
          </w:p>
        </w:tc>
      </w:tr>
    </w:tbl>
    <w:p w:rsidR="003E7EAB" w:rsidRPr="003E7EAB" w:rsidRDefault="003E7EAB" w:rsidP="003E7EAB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7E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(d)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ratio as at December 31, 2011: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EAB" w:rsidRPr="003E7EAB" w:rsidTr="003E7EAB">
        <w:trPr>
          <w:tblCellSpacing w:w="0" w:type="dxa"/>
        </w:trPr>
        <w:tc>
          <w:tcPr>
            <w:tcW w:w="1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3E7EAB" w:rsidRPr="003E7EAB" w:rsidRDefault="003E7EAB" w:rsidP="003E7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69" type="#_x0000_t75" style="width:111pt;height:18pt" o:ole="">
                  <v:imagedata r:id="rId24" o:title=""/>
                </v:shape>
                <w:control r:id="rId25" w:name="DefaultOcxName12" w:shapeid="_x0000_i1069"/>
              </w:object>
            </w:r>
          </w:p>
        </w:tc>
      </w:tr>
    </w:tbl>
    <w:p w:rsidR="003E7EAB" w:rsidRPr="003E7EAB" w:rsidRDefault="003E7EAB" w:rsidP="003E7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E7EA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p w:rsidR="009947A8" w:rsidRDefault="009947A8"/>
    <w:sectPr w:rsidR="009947A8" w:rsidSect="0099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EAB"/>
    <w:rsid w:val="003E7EAB"/>
    <w:rsid w:val="00452D55"/>
    <w:rsid w:val="0099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8163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28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46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35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61622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image" Target="media/image9.wmf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2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3139</Characters>
  <Application>Microsoft Office Word</Application>
  <DocSecurity>0</DocSecurity>
  <Lines>26</Lines>
  <Paragraphs>7</Paragraphs>
  <ScaleCrop>false</ScaleCrop>
  <Company>United States Army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jacqueline.k.estep</dc:creator>
  <cp:lastModifiedBy>jacqueline.k.estep</cp:lastModifiedBy>
  <cp:revision>1</cp:revision>
  <dcterms:created xsi:type="dcterms:W3CDTF">2012-09-18T12:30:00Z</dcterms:created>
  <dcterms:modified xsi:type="dcterms:W3CDTF">2012-09-18T12:31:00Z</dcterms:modified>
</cp:coreProperties>
</file>