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08" w:rsidRDefault="007901AD">
      <w:r>
        <w:t>18-2</w:t>
      </w:r>
    </w:p>
    <w:p w:rsidR="007901AD" w:rsidRDefault="007901AD"/>
    <w:p w:rsidR="007901AD" w:rsidRDefault="007901AD">
      <w:r>
        <w:t>The shareholders’ equity section of the balance sheet of TNL systems Inc. included the following accounts at December 31, 2010:</w:t>
      </w:r>
    </w:p>
    <w:p w:rsidR="007901AD" w:rsidRDefault="007901AD"/>
    <w:p w:rsidR="007901AD" w:rsidRDefault="007901AD"/>
    <w:tbl>
      <w:tblPr>
        <w:tblStyle w:val="TableGrid"/>
        <w:tblW w:w="0" w:type="auto"/>
        <w:tblLook w:val="04A0"/>
      </w:tblPr>
      <w:tblGrid>
        <w:gridCol w:w="6948"/>
        <w:gridCol w:w="1908"/>
      </w:tblGrid>
      <w:tr w:rsidR="007901AD" w:rsidTr="007901AD">
        <w:tc>
          <w:tcPr>
            <w:tcW w:w="6948" w:type="dxa"/>
          </w:tcPr>
          <w:p w:rsidR="007901AD" w:rsidRPr="007901AD" w:rsidRDefault="007901AD" w:rsidP="007901AD">
            <w:pPr>
              <w:jc w:val="center"/>
              <w:rPr>
                <w:b/>
              </w:rPr>
            </w:pPr>
            <w:r>
              <w:rPr>
                <w:b/>
              </w:rPr>
              <w:t>Shareholders’ equity</w:t>
            </w:r>
          </w:p>
        </w:tc>
        <w:tc>
          <w:tcPr>
            <w:tcW w:w="1908" w:type="dxa"/>
          </w:tcPr>
          <w:p w:rsidR="007901AD" w:rsidRDefault="007901AD" w:rsidP="007901AD">
            <w:pPr>
              <w:jc w:val="center"/>
            </w:pPr>
            <w:r>
              <w:t>$ in Million</w:t>
            </w:r>
          </w:p>
        </w:tc>
      </w:tr>
      <w:tr w:rsidR="007901AD" w:rsidTr="007901AD">
        <w:tc>
          <w:tcPr>
            <w:tcW w:w="6948" w:type="dxa"/>
          </w:tcPr>
          <w:p w:rsidR="007901AD" w:rsidRDefault="007901AD">
            <w:r>
              <w:t>Common stock, 240 million shares at $1 pare</w:t>
            </w:r>
          </w:p>
        </w:tc>
        <w:tc>
          <w:tcPr>
            <w:tcW w:w="1908" w:type="dxa"/>
          </w:tcPr>
          <w:p w:rsidR="007901AD" w:rsidRDefault="007901AD">
            <w:r>
              <w:t>$240</w:t>
            </w:r>
          </w:p>
        </w:tc>
      </w:tr>
      <w:tr w:rsidR="007901AD" w:rsidTr="007901AD">
        <w:tc>
          <w:tcPr>
            <w:tcW w:w="6948" w:type="dxa"/>
          </w:tcPr>
          <w:p w:rsidR="007901AD" w:rsidRDefault="007901AD" w:rsidP="007901AD">
            <w:r>
              <w:t>Paid-in-capital – excess of par</w:t>
            </w:r>
          </w:p>
        </w:tc>
        <w:tc>
          <w:tcPr>
            <w:tcW w:w="1908" w:type="dxa"/>
          </w:tcPr>
          <w:p w:rsidR="007901AD" w:rsidRDefault="007901AD">
            <w:r>
              <w:t>1,680</w:t>
            </w:r>
          </w:p>
        </w:tc>
      </w:tr>
      <w:tr w:rsidR="007901AD" w:rsidTr="007901AD">
        <w:tc>
          <w:tcPr>
            <w:tcW w:w="6948" w:type="dxa"/>
          </w:tcPr>
          <w:p w:rsidR="007901AD" w:rsidRDefault="007901AD">
            <w:r>
              <w:t>Paid-in capital – share repurchase</w:t>
            </w:r>
          </w:p>
        </w:tc>
        <w:tc>
          <w:tcPr>
            <w:tcW w:w="1908" w:type="dxa"/>
          </w:tcPr>
          <w:p w:rsidR="007901AD" w:rsidRDefault="007901AD">
            <w:r>
              <w:t>1</w:t>
            </w:r>
          </w:p>
        </w:tc>
      </w:tr>
      <w:tr w:rsidR="007901AD" w:rsidTr="007901AD">
        <w:tc>
          <w:tcPr>
            <w:tcW w:w="6948" w:type="dxa"/>
          </w:tcPr>
          <w:p w:rsidR="007901AD" w:rsidRDefault="007901AD">
            <w:r>
              <w:t>Retained earnings</w:t>
            </w:r>
          </w:p>
        </w:tc>
        <w:tc>
          <w:tcPr>
            <w:tcW w:w="1908" w:type="dxa"/>
          </w:tcPr>
          <w:p w:rsidR="007901AD" w:rsidRDefault="007901AD">
            <w:r>
              <w:t>1,100</w:t>
            </w:r>
          </w:p>
        </w:tc>
      </w:tr>
      <w:tr w:rsidR="007901AD" w:rsidTr="007901AD">
        <w:tc>
          <w:tcPr>
            <w:tcW w:w="6948" w:type="dxa"/>
          </w:tcPr>
          <w:p w:rsidR="007901AD" w:rsidRDefault="007901AD"/>
        </w:tc>
        <w:tc>
          <w:tcPr>
            <w:tcW w:w="1908" w:type="dxa"/>
          </w:tcPr>
          <w:p w:rsidR="007901AD" w:rsidRDefault="007901AD"/>
        </w:tc>
      </w:tr>
    </w:tbl>
    <w:p w:rsidR="007901AD" w:rsidRDefault="007901AD"/>
    <w:p w:rsidR="007901AD" w:rsidRDefault="007901AD">
      <w:r>
        <w:t>Required:</w:t>
      </w:r>
    </w:p>
    <w:p w:rsidR="007901AD" w:rsidRDefault="007901AD"/>
    <w:p w:rsidR="007901AD" w:rsidRDefault="007901AD" w:rsidP="007901AD">
      <w:pPr>
        <w:pStyle w:val="ListParagraph"/>
        <w:numPr>
          <w:ilvl w:val="0"/>
          <w:numId w:val="1"/>
        </w:numPr>
      </w:pPr>
      <w:r>
        <w:t xml:space="preserve"> During 2011, TNL Systems reacquired shares of its common stock and later sold shares in two separate transactions.  Prepare the entries for both the purchase and subsequent resale of the shares assuming the shares are (a) retired and (b) viewed as treasury stock.</w:t>
      </w:r>
    </w:p>
    <w:p w:rsidR="007901AD" w:rsidRDefault="007901AD" w:rsidP="007901AD"/>
    <w:p w:rsidR="007901AD" w:rsidRDefault="007901AD" w:rsidP="007901AD">
      <w:pPr>
        <w:pStyle w:val="ListParagraph"/>
        <w:numPr>
          <w:ilvl w:val="0"/>
          <w:numId w:val="2"/>
        </w:numPr>
      </w:pPr>
      <w:r>
        <w:t xml:space="preserve"> On February 5, 2011, TNL systems purchased 6 million shares at $10 per share</w:t>
      </w:r>
    </w:p>
    <w:p w:rsidR="007901AD" w:rsidRDefault="007901AD" w:rsidP="007901AD">
      <w:pPr>
        <w:pStyle w:val="ListParagraph"/>
        <w:numPr>
          <w:ilvl w:val="0"/>
          <w:numId w:val="2"/>
        </w:numPr>
      </w:pPr>
      <w:r>
        <w:t>On July 9, 2011, the corporation sold 2 million shares at $12 per share</w:t>
      </w:r>
    </w:p>
    <w:p w:rsidR="007901AD" w:rsidRDefault="007901AD" w:rsidP="007901AD">
      <w:pPr>
        <w:pStyle w:val="ListParagraph"/>
        <w:numPr>
          <w:ilvl w:val="0"/>
          <w:numId w:val="2"/>
        </w:numPr>
      </w:pPr>
      <w:r>
        <w:t>On November 14, 2013, the corporation sold 2 million shares at $7 per share</w:t>
      </w:r>
    </w:p>
    <w:p w:rsidR="007901AD" w:rsidRDefault="007901AD" w:rsidP="007901AD">
      <w:pPr>
        <w:pStyle w:val="ListParagraph"/>
        <w:numPr>
          <w:ilvl w:val="0"/>
          <w:numId w:val="1"/>
        </w:numPr>
      </w:pPr>
      <w:r>
        <w:t xml:space="preserve"> Prepare the shareholders’ equity section of TNL Systems’ balance sheet at December 31, 2013, comparing the two approaches.  Assume </w:t>
      </w:r>
      <w:proofErr w:type="gramStart"/>
      <w:r>
        <w:t xml:space="preserve">all </w:t>
      </w:r>
      <w:r w:rsidR="00240AE8">
        <w:t xml:space="preserve"> </w:t>
      </w:r>
      <w:r>
        <w:t>net</w:t>
      </w:r>
      <w:proofErr w:type="gramEnd"/>
      <w:r>
        <w:t xml:space="preserve"> income earned in 2011-2013 was distributed to shareholders as cash dividends.</w:t>
      </w:r>
    </w:p>
    <w:sectPr w:rsidR="007901AD" w:rsidSect="00A239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4B3F"/>
    <w:multiLevelType w:val="hybridMultilevel"/>
    <w:tmpl w:val="18D0314C"/>
    <w:lvl w:ilvl="0" w:tplc="F6085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DB3C0F"/>
    <w:multiLevelType w:val="hybridMultilevel"/>
    <w:tmpl w:val="A408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7901AD"/>
    <w:rsid w:val="00240AE8"/>
    <w:rsid w:val="0063166A"/>
    <w:rsid w:val="0070151D"/>
    <w:rsid w:val="007901AD"/>
    <w:rsid w:val="007F39B2"/>
    <w:rsid w:val="00A239EC"/>
    <w:rsid w:val="00AB0908"/>
    <w:rsid w:val="00D52FA6"/>
    <w:rsid w:val="00FF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7F39B2"/>
    <w:rPr>
      <w:i/>
      <w:iCs/>
    </w:rPr>
  </w:style>
  <w:style w:type="table" w:styleId="TableGrid">
    <w:name w:val="Table Grid"/>
    <w:basedOn w:val="TableNormal"/>
    <w:rsid w:val="00790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01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Worrell</dc:creator>
  <cp:keywords/>
  <dc:description/>
  <cp:lastModifiedBy>Barry Worrell</cp:lastModifiedBy>
  <cp:revision>2</cp:revision>
  <dcterms:created xsi:type="dcterms:W3CDTF">2012-08-24T11:28:00Z</dcterms:created>
  <dcterms:modified xsi:type="dcterms:W3CDTF">2012-08-24T11:28:00Z</dcterms:modified>
</cp:coreProperties>
</file>