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C9" w:rsidRPr="001910C9" w:rsidRDefault="001910C9" w:rsidP="001910C9">
      <w:pPr>
        <w:rPr>
          <w:rFonts w:ascii="Times New Roman" w:hAnsi="Times New Roman" w:cs="Times New Roman"/>
          <w:sz w:val="24"/>
          <w:szCs w:val="24"/>
        </w:rPr>
      </w:pPr>
      <w:r w:rsidRPr="001910C9">
        <w:rPr>
          <w:rFonts w:ascii="Times New Roman" w:hAnsi="Times New Roman" w:cs="Times New Roman"/>
          <w:sz w:val="24"/>
          <w:szCs w:val="24"/>
        </w:rPr>
        <w:t>A 30-year, $1,000 par value bond has a 9.5% annual payment coupon. The bond currently sells for $875. If the yield to maturity remains at its current rate, what will the price be 9 years from now?</w:t>
      </w:r>
    </w:p>
    <w:p w:rsidR="00282F83" w:rsidRDefault="001910C9" w:rsidP="001910C9">
      <w:pPr>
        <w:rPr>
          <w:rFonts w:ascii="Times New Roman" w:hAnsi="Times New Roman" w:cs="Times New Roman"/>
          <w:sz w:val="24"/>
          <w:szCs w:val="24"/>
        </w:rPr>
      </w:pPr>
      <w:r w:rsidRPr="001910C9">
        <w:rPr>
          <w:rFonts w:ascii="Times New Roman" w:hAnsi="Times New Roman" w:cs="Times New Roman"/>
          <w:sz w:val="24"/>
          <w:szCs w:val="24"/>
        </w:rPr>
        <w:t>Knapp Bros, LLC is planning to issue new 20-year bonds. The current plan is to make the bonds non-callable, but this may be changed. If the bonds are made callable after 7 years at a 7% call premium, how would this affect their required rate of return?</w:t>
      </w:r>
    </w:p>
    <w:p w:rsidR="001910C9" w:rsidRPr="001910C9" w:rsidRDefault="001910C9" w:rsidP="001910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10C9" w:rsidRPr="00191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C9"/>
    <w:rsid w:val="001910C9"/>
    <w:rsid w:val="00282F83"/>
    <w:rsid w:val="00D4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2</cp:revision>
  <dcterms:created xsi:type="dcterms:W3CDTF">2012-08-01T22:22:00Z</dcterms:created>
  <dcterms:modified xsi:type="dcterms:W3CDTF">2012-08-01T22:22:00Z</dcterms:modified>
</cp:coreProperties>
</file>