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06" w:rsidRDefault="00C46C93" w:rsidP="00192B0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UABC </w:t>
      </w:r>
      <w:r w:rsidR="00192B06">
        <w:rPr>
          <w:rFonts w:ascii="Arial" w:hAnsi="Arial" w:cs="Arial"/>
          <w:sz w:val="20"/>
          <w:szCs w:val="20"/>
        </w:rPr>
        <w:t xml:space="preserve">Problem </w:t>
      </w:r>
    </w:p>
    <w:p w:rsidR="00192B06" w:rsidRDefault="00192B06" w:rsidP="00192B06">
      <w:pPr>
        <w:ind w:firstLine="0"/>
        <w:rPr>
          <w:rFonts w:ascii="Arial" w:hAnsi="Arial" w:cs="Arial"/>
          <w:sz w:val="20"/>
          <w:szCs w:val="20"/>
        </w:rPr>
      </w:pPr>
    </w:p>
    <w:p w:rsidR="00192B06" w:rsidRPr="00E97078" w:rsidRDefault="00192B06" w:rsidP="00192B06">
      <w:pPr>
        <w:ind w:firstLine="0"/>
        <w:rPr>
          <w:rFonts w:ascii="Arial" w:hAnsi="Arial" w:cs="Arial"/>
          <w:sz w:val="20"/>
          <w:szCs w:val="20"/>
        </w:rPr>
      </w:pPr>
      <w:r w:rsidRPr="00E97078">
        <w:rPr>
          <w:rFonts w:ascii="Arial" w:hAnsi="Arial" w:cs="Arial"/>
          <w:sz w:val="20"/>
          <w:szCs w:val="20"/>
        </w:rPr>
        <w:t>Comparative income statements and balance sheets for Utica Company follow for 2011 and 2010.</w:t>
      </w:r>
    </w:p>
    <w:tbl>
      <w:tblPr>
        <w:tblW w:w="7850" w:type="dxa"/>
        <w:tblInd w:w="88" w:type="dxa"/>
        <w:tblLook w:val="0000" w:firstRow="0" w:lastRow="0" w:firstColumn="0" w:lastColumn="0" w:noHBand="0" w:noVBand="0"/>
      </w:tblPr>
      <w:tblGrid>
        <w:gridCol w:w="4070"/>
        <w:gridCol w:w="1839"/>
        <w:gridCol w:w="1941"/>
      </w:tblGrid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C4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U</w:t>
            </w:r>
            <w:r w:rsidR="00C46C93">
              <w:rPr>
                <w:rFonts w:ascii="Arial" w:hAnsi="Arial" w:cs="Arial"/>
                <w:sz w:val="20"/>
                <w:szCs w:val="20"/>
              </w:rPr>
              <w:t xml:space="preserve">ABC </w:t>
            </w:r>
            <w:r w:rsidRPr="00E97078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Comparative Income Statements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For Years Ended December 31, 2011 and 2010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Sales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$12,013,631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$11,016,668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Cost of goods sold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>6,747,451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>6,267,557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Gross profit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5,266,180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4,749,111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Selling and administrative expenses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>3,637,065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>3,296,448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Operating income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1,629,115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1,452,664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Other expenses (revenues):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Interest revenue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color w:val="FF0000"/>
                <w:sz w:val="20"/>
                <w:szCs w:val="20"/>
              </w:rPr>
              <w:t>(95,915)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color w:val="FF0000"/>
                <w:sz w:val="20"/>
                <w:szCs w:val="20"/>
              </w:rPr>
              <w:t>(77,478)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Interest expense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 xml:space="preserve">78,232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>68,800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Total other expenses (revenues)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(17,683)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(8,678)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Income before income taxes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1,646,798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1,461,342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Income taxes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>734,775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>609,517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Net income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double"/>
              </w:rPr>
              <w:t>$912,023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double"/>
              </w:rPr>
              <w:t>$851,824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B06" w:rsidRDefault="00192B06" w:rsidP="00192B06">
      <w:r>
        <w:br w:type="page"/>
      </w:r>
    </w:p>
    <w:tbl>
      <w:tblPr>
        <w:tblW w:w="7850" w:type="dxa"/>
        <w:tblInd w:w="88" w:type="dxa"/>
        <w:tblLook w:val="0000" w:firstRow="0" w:lastRow="0" w:firstColumn="0" w:lastColumn="0" w:noHBand="0" w:noVBand="0"/>
      </w:tblPr>
      <w:tblGrid>
        <w:gridCol w:w="4070"/>
        <w:gridCol w:w="1839"/>
        <w:gridCol w:w="1941"/>
      </w:tblGrid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C46C93" w:rsidP="0019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UABC</w:t>
            </w:r>
            <w:r w:rsidR="00192B06" w:rsidRPr="00E97078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Comparative Balance Sheets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December 31, 2011 and 2010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078">
              <w:rPr>
                <w:rFonts w:ascii="Arial" w:hAnsi="Arial" w:cs="Arial"/>
                <w:b/>
                <w:bCs/>
                <w:sz w:val="20"/>
                <w:szCs w:val="20"/>
              </w:rPr>
              <w:t>Assets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$246,652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$254,183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Marketable securities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446,013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198,746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Accounts receivable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986,322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1,025,321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Inventory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1,531,467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1,588,061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Prepaid expenses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 xml:space="preserve">127,488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 xml:space="preserve">113,306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Total current assets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3,337,942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3,179,616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Investments and other assets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790,333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592,281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Property Plant and equipment, net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2,875,290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2,628,046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Trademarks and other intangibles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 xml:space="preserve">268,588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 xml:space="preserve">275,735 </w:t>
            </w:r>
          </w:p>
        </w:tc>
      </w:tr>
      <w:tr w:rsidR="00192B06" w:rsidRPr="00E97078" w:rsidTr="00192B06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double"/>
              </w:rPr>
              <w:t xml:space="preserve">$7,272,153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double"/>
              </w:rPr>
              <w:t xml:space="preserve">$6,675,678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078">
              <w:rPr>
                <w:rFonts w:ascii="Arial" w:hAnsi="Arial" w:cs="Arial"/>
                <w:b/>
                <w:bCs/>
                <w:sz w:val="20"/>
                <w:szCs w:val="20"/>
              </w:rPr>
              <w:t>Liab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97078">
              <w:rPr>
                <w:rFonts w:ascii="Arial" w:hAnsi="Arial" w:cs="Arial"/>
                <w:b/>
                <w:bCs/>
                <w:sz w:val="20"/>
                <w:szCs w:val="20"/>
              </w:rPr>
              <w:t>lities and stockholders' equity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Notes payable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$182,880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$171,671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Current maturities of long-term debt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10,231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14,755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Accounts payable and accrued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  <w:r w:rsidRPr="00E97078">
              <w:rPr>
                <w:rFonts w:ascii="Arial" w:hAnsi="Arial" w:cs="Arial"/>
                <w:sz w:val="20"/>
                <w:szCs w:val="20"/>
              </w:rPr>
              <w:t>expenses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 xml:space="preserve">1,858,773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 xml:space="preserve">1,894,271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Total current liabilities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2,051,883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2,080,697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Long-term debt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 xml:space="preserve">567,495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 xml:space="preserve">528,494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Total liabilities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 xml:space="preserve">2,619,378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 xml:space="preserve">2,609,191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Common stock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127,274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122,249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Additional paid-in capital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232,956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 xml:space="preserve">221,817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Retained earnings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 xml:space="preserve">4,292,546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 xml:space="preserve">3,722,420 </w:t>
            </w:r>
          </w:p>
        </w:tc>
      </w:tr>
      <w:tr w:rsidR="00192B06" w:rsidRPr="00E97078" w:rsidTr="00192B06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Total stockholders' equity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 xml:space="preserve">4,652,775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single"/>
              </w:rPr>
              <w:t xml:space="preserve">4,066,486 </w:t>
            </w:r>
          </w:p>
        </w:tc>
      </w:tr>
      <w:tr w:rsidR="00192B06" w:rsidRPr="00E97078" w:rsidTr="00192B06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rPr>
                <w:rFonts w:ascii="Arial" w:hAnsi="Arial" w:cs="Arial"/>
                <w:sz w:val="20"/>
                <w:szCs w:val="20"/>
              </w:rPr>
            </w:pPr>
            <w:r w:rsidRPr="00E97078">
              <w:rPr>
                <w:rFonts w:ascii="Arial" w:hAnsi="Arial" w:cs="Arial"/>
                <w:sz w:val="20"/>
                <w:szCs w:val="20"/>
              </w:rPr>
              <w:t>Total liabilities and equity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double"/>
              </w:rPr>
              <w:t xml:space="preserve">$7,272,153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B06" w:rsidRPr="00E97078" w:rsidRDefault="00192B06" w:rsidP="00192B06">
            <w:pPr>
              <w:jc w:val="right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E97078">
              <w:rPr>
                <w:rFonts w:ascii="Arial" w:hAnsi="Arial" w:cs="Arial"/>
                <w:sz w:val="20"/>
                <w:szCs w:val="20"/>
                <w:u w:val="double"/>
              </w:rPr>
              <w:t xml:space="preserve">$6,675,678 </w:t>
            </w:r>
          </w:p>
        </w:tc>
      </w:tr>
    </w:tbl>
    <w:p w:rsidR="00192B06" w:rsidRDefault="00192B06" w:rsidP="00192B06">
      <w:pPr>
        <w:rPr>
          <w:rFonts w:ascii="Arial" w:hAnsi="Arial" w:cs="Arial"/>
          <w:sz w:val="20"/>
          <w:szCs w:val="20"/>
        </w:rPr>
      </w:pPr>
    </w:p>
    <w:p w:rsidR="00192B06" w:rsidRPr="00E97078" w:rsidRDefault="00192B06" w:rsidP="00192B06">
      <w:pPr>
        <w:rPr>
          <w:rFonts w:ascii="Arial" w:hAnsi="Arial" w:cs="Arial"/>
          <w:b/>
          <w:i/>
          <w:sz w:val="20"/>
          <w:szCs w:val="20"/>
        </w:rPr>
      </w:pPr>
      <w:r w:rsidRPr="00E97078">
        <w:rPr>
          <w:rFonts w:ascii="Arial" w:hAnsi="Arial" w:cs="Arial"/>
          <w:b/>
          <w:i/>
          <w:sz w:val="20"/>
          <w:szCs w:val="20"/>
        </w:rPr>
        <w:t>Required:</w:t>
      </w:r>
    </w:p>
    <w:p w:rsidR="00192B06" w:rsidRPr="00E97078" w:rsidRDefault="00192B06" w:rsidP="00192B06">
      <w:pPr>
        <w:rPr>
          <w:rFonts w:ascii="Arial" w:hAnsi="Arial" w:cs="Arial"/>
          <w:sz w:val="20"/>
          <w:szCs w:val="20"/>
        </w:rPr>
      </w:pPr>
      <w:r w:rsidRPr="00E97078">
        <w:rPr>
          <w:rFonts w:ascii="Arial" w:hAnsi="Arial" w:cs="Arial"/>
          <w:b/>
          <w:sz w:val="20"/>
          <w:szCs w:val="20"/>
        </w:rPr>
        <w:t>A.</w:t>
      </w:r>
      <w:r w:rsidRPr="00E97078">
        <w:rPr>
          <w:rFonts w:ascii="Arial" w:hAnsi="Arial" w:cs="Arial"/>
          <w:sz w:val="20"/>
          <w:szCs w:val="20"/>
        </w:rPr>
        <w:t xml:space="preserve"> Prepare a comprehensive analysis of </w:t>
      </w:r>
      <w:r w:rsidR="00C46C93">
        <w:rPr>
          <w:rFonts w:ascii="Arial" w:hAnsi="Arial" w:cs="Arial"/>
          <w:sz w:val="20"/>
          <w:szCs w:val="20"/>
        </w:rPr>
        <w:t>UABC</w:t>
      </w:r>
      <w:r w:rsidRPr="00E97078">
        <w:rPr>
          <w:rFonts w:ascii="Arial" w:hAnsi="Arial" w:cs="Arial"/>
          <w:sz w:val="20"/>
          <w:szCs w:val="20"/>
        </w:rPr>
        <w:t xml:space="preserve"> for 2011, including the following measures (round all calculations to three decimal places. </w:t>
      </w:r>
    </w:p>
    <w:p w:rsidR="00192B06" w:rsidRPr="00E97078" w:rsidRDefault="00192B06" w:rsidP="00192B06">
      <w:pPr>
        <w:rPr>
          <w:rFonts w:ascii="Arial" w:hAnsi="Arial" w:cs="Arial"/>
          <w:sz w:val="20"/>
          <w:szCs w:val="20"/>
        </w:rPr>
      </w:pPr>
      <w:r w:rsidRPr="00E97078">
        <w:rPr>
          <w:rFonts w:ascii="Arial" w:hAnsi="Arial" w:cs="Arial"/>
          <w:sz w:val="20"/>
          <w:szCs w:val="20"/>
        </w:rPr>
        <w:t xml:space="preserve">1. </w:t>
      </w:r>
      <w:bookmarkStart w:id="0" w:name="_GoBack"/>
      <w:r w:rsidRPr="00E97078">
        <w:rPr>
          <w:rFonts w:ascii="Arial" w:hAnsi="Arial" w:cs="Arial"/>
          <w:sz w:val="20"/>
          <w:szCs w:val="20"/>
        </w:rPr>
        <w:t>Short-term solvency ratios (current ratio, acid test, inventory turnover, and days sales in receivables ratios)</w:t>
      </w:r>
    </w:p>
    <w:bookmarkEnd w:id="0"/>
    <w:p w:rsidR="00192B06" w:rsidRPr="00E97078" w:rsidRDefault="00192B06" w:rsidP="00192B06">
      <w:pPr>
        <w:rPr>
          <w:rFonts w:ascii="Arial" w:hAnsi="Arial" w:cs="Arial"/>
          <w:sz w:val="20"/>
          <w:szCs w:val="20"/>
        </w:rPr>
      </w:pPr>
      <w:r w:rsidRPr="00E97078">
        <w:rPr>
          <w:rFonts w:ascii="Arial" w:hAnsi="Arial" w:cs="Arial"/>
          <w:sz w:val="20"/>
          <w:szCs w:val="20"/>
        </w:rPr>
        <w:t>2. Long-term solvency ratios (debt-to-equity and times-interest-earned ratios)</w:t>
      </w:r>
    </w:p>
    <w:p w:rsidR="00192B06" w:rsidRPr="00E97078" w:rsidRDefault="00192B06" w:rsidP="00192B06">
      <w:pPr>
        <w:rPr>
          <w:rFonts w:ascii="Arial" w:hAnsi="Arial" w:cs="Arial"/>
          <w:sz w:val="20"/>
          <w:szCs w:val="20"/>
        </w:rPr>
      </w:pPr>
      <w:r w:rsidRPr="00E97078">
        <w:rPr>
          <w:rFonts w:ascii="Arial" w:hAnsi="Arial" w:cs="Arial"/>
          <w:sz w:val="20"/>
          <w:szCs w:val="20"/>
        </w:rPr>
        <w:t>3. Performance measurement ratios (asset turnover, return on sales, return on assets, and return on equity ratios)</w:t>
      </w:r>
    </w:p>
    <w:p w:rsidR="00192B06" w:rsidRDefault="00192B06" w:rsidP="00192B06">
      <w:pPr>
        <w:rPr>
          <w:rFonts w:ascii="Arial" w:hAnsi="Arial" w:cs="Arial"/>
          <w:b/>
          <w:sz w:val="20"/>
          <w:szCs w:val="20"/>
        </w:rPr>
      </w:pPr>
    </w:p>
    <w:p w:rsidR="00192B06" w:rsidRPr="00E97078" w:rsidRDefault="00192B06" w:rsidP="00192B06">
      <w:pPr>
        <w:rPr>
          <w:rFonts w:ascii="Arial" w:hAnsi="Arial" w:cs="Arial"/>
          <w:sz w:val="20"/>
          <w:szCs w:val="20"/>
        </w:rPr>
      </w:pPr>
      <w:r w:rsidRPr="00E97078">
        <w:rPr>
          <w:rFonts w:ascii="Arial" w:hAnsi="Arial" w:cs="Arial"/>
          <w:b/>
          <w:sz w:val="20"/>
          <w:szCs w:val="20"/>
        </w:rPr>
        <w:t>B.</w:t>
      </w:r>
      <w:r w:rsidRPr="00E97078">
        <w:rPr>
          <w:rFonts w:ascii="Arial" w:hAnsi="Arial" w:cs="Arial"/>
          <w:sz w:val="20"/>
          <w:szCs w:val="20"/>
        </w:rPr>
        <w:t xml:space="preserve"> Comment on the financial condition of </w:t>
      </w:r>
      <w:r w:rsidR="00C46C93">
        <w:rPr>
          <w:rFonts w:ascii="Arial" w:hAnsi="Arial" w:cs="Arial"/>
          <w:sz w:val="20"/>
          <w:szCs w:val="20"/>
        </w:rPr>
        <w:t>UABC</w:t>
      </w:r>
      <w:r w:rsidRPr="00E97078">
        <w:rPr>
          <w:rFonts w:ascii="Arial" w:hAnsi="Arial" w:cs="Arial"/>
          <w:sz w:val="20"/>
          <w:szCs w:val="20"/>
        </w:rPr>
        <w:t xml:space="preserve"> with respect to short-term solvency</w:t>
      </w:r>
      <w:r>
        <w:rPr>
          <w:rFonts w:ascii="Arial" w:hAnsi="Arial" w:cs="Arial"/>
          <w:sz w:val="20"/>
          <w:szCs w:val="20"/>
        </w:rPr>
        <w:t xml:space="preserve">, </w:t>
      </w:r>
      <w:r w:rsidRPr="00E97078">
        <w:rPr>
          <w:rFonts w:ascii="Arial" w:hAnsi="Arial" w:cs="Arial"/>
          <w:sz w:val="20"/>
          <w:szCs w:val="20"/>
        </w:rPr>
        <w:t xml:space="preserve">long-term solvency, and performance. </w:t>
      </w:r>
    </w:p>
    <w:p w:rsidR="00192B06" w:rsidRDefault="00192B06" w:rsidP="00192B06">
      <w:pPr>
        <w:rPr>
          <w:rFonts w:ascii="Arial" w:hAnsi="Arial" w:cs="Arial"/>
          <w:b/>
          <w:sz w:val="20"/>
          <w:szCs w:val="20"/>
        </w:rPr>
      </w:pPr>
    </w:p>
    <w:p w:rsidR="00192B06" w:rsidRPr="00E97078" w:rsidRDefault="00192B06" w:rsidP="00192B06">
      <w:pPr>
        <w:rPr>
          <w:rFonts w:ascii="Arial" w:hAnsi="Arial" w:cs="Arial"/>
          <w:sz w:val="20"/>
          <w:szCs w:val="20"/>
        </w:rPr>
      </w:pPr>
      <w:r w:rsidRPr="00E97078">
        <w:rPr>
          <w:rFonts w:ascii="Arial" w:hAnsi="Arial" w:cs="Arial"/>
          <w:b/>
          <w:sz w:val="20"/>
          <w:szCs w:val="20"/>
        </w:rPr>
        <w:t>C.</w:t>
      </w:r>
      <w:r w:rsidRPr="00E97078">
        <w:rPr>
          <w:rFonts w:ascii="Arial" w:hAnsi="Arial" w:cs="Arial"/>
          <w:sz w:val="20"/>
          <w:szCs w:val="20"/>
        </w:rPr>
        <w:t xml:space="preserve"> Using the data for </w:t>
      </w:r>
      <w:r w:rsidR="00C46C93">
        <w:rPr>
          <w:rFonts w:ascii="Arial" w:hAnsi="Arial" w:cs="Arial"/>
          <w:sz w:val="20"/>
          <w:szCs w:val="20"/>
        </w:rPr>
        <w:t>UABC</w:t>
      </w:r>
      <w:r w:rsidRPr="00E9707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97078">
        <w:rPr>
          <w:rFonts w:ascii="Arial" w:hAnsi="Arial" w:cs="Arial"/>
          <w:sz w:val="20"/>
          <w:szCs w:val="20"/>
        </w:rPr>
        <w:t>Company,</w:t>
      </w:r>
      <w:proofErr w:type="gramEnd"/>
      <w:r w:rsidRPr="00E97078">
        <w:rPr>
          <w:rFonts w:ascii="Arial" w:hAnsi="Arial" w:cs="Arial"/>
          <w:sz w:val="20"/>
          <w:szCs w:val="20"/>
        </w:rPr>
        <w:t xml:space="preserve"> prepare common size </w:t>
      </w:r>
      <w:r>
        <w:rPr>
          <w:rFonts w:ascii="Arial" w:hAnsi="Arial" w:cs="Arial"/>
          <w:sz w:val="20"/>
          <w:szCs w:val="20"/>
        </w:rPr>
        <w:t xml:space="preserve">(vertical analysis) </w:t>
      </w:r>
      <w:r w:rsidRPr="00E97078">
        <w:rPr>
          <w:rFonts w:ascii="Arial" w:hAnsi="Arial" w:cs="Arial"/>
          <w:sz w:val="20"/>
          <w:szCs w:val="20"/>
        </w:rPr>
        <w:t xml:space="preserve">statements and evaluate the company’s performance in 2011 as compared to 2010. For the balance sheets, use total assets as the base; for the income statements, make one set using sales of each year as the base </w:t>
      </w:r>
      <w:r>
        <w:rPr>
          <w:rFonts w:ascii="Arial" w:hAnsi="Arial" w:cs="Arial"/>
          <w:sz w:val="20"/>
          <w:szCs w:val="20"/>
        </w:rPr>
        <w:t xml:space="preserve">(vertical analysis) </w:t>
      </w:r>
      <w:r w:rsidRPr="00E97078">
        <w:rPr>
          <w:rFonts w:ascii="Arial" w:hAnsi="Arial" w:cs="Arial"/>
          <w:sz w:val="20"/>
          <w:szCs w:val="20"/>
        </w:rPr>
        <w:t>and another set using the year 2010 as the base for both years</w:t>
      </w:r>
      <w:r>
        <w:rPr>
          <w:rFonts w:ascii="Arial" w:hAnsi="Arial" w:cs="Arial"/>
          <w:sz w:val="20"/>
          <w:szCs w:val="20"/>
        </w:rPr>
        <w:t xml:space="preserve"> (horizontal analysis)</w:t>
      </w:r>
      <w:r w:rsidRPr="00E97078">
        <w:rPr>
          <w:rFonts w:ascii="Arial" w:hAnsi="Arial" w:cs="Arial"/>
          <w:sz w:val="20"/>
          <w:szCs w:val="20"/>
        </w:rPr>
        <w:t>.</w:t>
      </w:r>
    </w:p>
    <w:p w:rsidR="00192B06" w:rsidRDefault="00192B06" w:rsidP="00192B06">
      <w:pPr>
        <w:rPr>
          <w:rFonts w:ascii="Arial" w:hAnsi="Arial" w:cs="Arial"/>
          <w:b/>
          <w:sz w:val="20"/>
          <w:szCs w:val="20"/>
        </w:rPr>
      </w:pPr>
    </w:p>
    <w:p w:rsidR="00192B06" w:rsidRPr="00E97078" w:rsidRDefault="00192B06" w:rsidP="00192B06">
      <w:pPr>
        <w:rPr>
          <w:rFonts w:ascii="Arial" w:hAnsi="Arial" w:cs="Arial"/>
          <w:sz w:val="20"/>
          <w:szCs w:val="20"/>
        </w:rPr>
      </w:pPr>
      <w:r w:rsidRPr="00E97078">
        <w:rPr>
          <w:rFonts w:ascii="Arial" w:hAnsi="Arial" w:cs="Arial"/>
          <w:b/>
          <w:sz w:val="20"/>
          <w:szCs w:val="20"/>
        </w:rPr>
        <w:t>D.</w:t>
      </w:r>
      <w:r w:rsidRPr="00E97078">
        <w:rPr>
          <w:rFonts w:ascii="Arial" w:hAnsi="Arial" w:cs="Arial"/>
          <w:sz w:val="20"/>
          <w:szCs w:val="20"/>
        </w:rPr>
        <w:t xml:space="preserve"> Comment on the condition of </w:t>
      </w:r>
      <w:r w:rsidR="00C46C93">
        <w:rPr>
          <w:rFonts w:ascii="Arial" w:hAnsi="Arial" w:cs="Arial"/>
          <w:sz w:val="20"/>
          <w:szCs w:val="20"/>
        </w:rPr>
        <w:t>UABC</w:t>
      </w:r>
      <w:r w:rsidRPr="00E97078">
        <w:rPr>
          <w:rFonts w:ascii="Arial" w:hAnsi="Arial" w:cs="Arial"/>
          <w:sz w:val="20"/>
          <w:szCs w:val="20"/>
        </w:rPr>
        <w:t xml:space="preserve"> drawing on the common size statements</w:t>
      </w:r>
      <w:r>
        <w:rPr>
          <w:rFonts w:ascii="Arial" w:hAnsi="Arial" w:cs="Arial"/>
          <w:sz w:val="20"/>
          <w:szCs w:val="20"/>
        </w:rPr>
        <w:t xml:space="preserve"> prepared above</w:t>
      </w:r>
      <w:r w:rsidRPr="00E97078">
        <w:rPr>
          <w:rFonts w:ascii="Arial" w:hAnsi="Arial" w:cs="Arial"/>
          <w:sz w:val="20"/>
          <w:szCs w:val="20"/>
        </w:rPr>
        <w:t>.</w:t>
      </w:r>
    </w:p>
    <w:p w:rsidR="00192B06" w:rsidRDefault="00192B06" w:rsidP="00192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A5376" w:rsidRDefault="009A5376"/>
    <w:sectPr w:rsidR="009A5376" w:rsidSect="009A53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06"/>
    <w:rsid w:val="00083986"/>
    <w:rsid w:val="00192B06"/>
    <w:rsid w:val="009A5376"/>
    <w:rsid w:val="00BA3D70"/>
    <w:rsid w:val="00C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06"/>
    <w:pPr>
      <w:ind w:firstLine="360"/>
    </w:pPr>
    <w:rPr>
      <w:rFonts w:eastAsiaTheme="min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06"/>
    <w:pPr>
      <w:ind w:firstLine="360"/>
    </w:pPr>
    <w:rPr>
      <w:rFonts w:eastAsiaTheme="min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2444</Characters>
  <Application>Microsoft Macintosh Word</Application>
  <DocSecurity>0</DocSecurity>
  <Lines>20</Lines>
  <Paragraphs>5</Paragraphs>
  <ScaleCrop>false</ScaleCrop>
  <Company>Tulane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Vrotsos</dc:creator>
  <cp:keywords/>
  <dc:description/>
  <cp:lastModifiedBy>Alexis Vrotsos</cp:lastModifiedBy>
  <cp:revision>2</cp:revision>
  <dcterms:created xsi:type="dcterms:W3CDTF">2012-05-02T01:02:00Z</dcterms:created>
  <dcterms:modified xsi:type="dcterms:W3CDTF">2012-05-02T01:02:00Z</dcterms:modified>
</cp:coreProperties>
</file>