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2F" w:rsidRDefault="00F3312F" w:rsidP="00F3312F">
      <w:pPr>
        <w:spacing w:after="60" w:line="240" w:lineRule="atLeast"/>
        <w:outlineLvl w:val="1"/>
        <w:rPr>
          <w:rFonts w:ascii="Georgia" w:hAnsi="Georgia"/>
          <w:color w:val="000000"/>
          <w:kern w:val="36"/>
          <w:sz w:val="47"/>
          <w:szCs w:val="47"/>
        </w:rPr>
      </w:pPr>
      <w:r>
        <w:rPr>
          <w:rFonts w:ascii="Georgia" w:hAnsi="Georgia"/>
          <w:color w:val="000000"/>
          <w:kern w:val="36"/>
          <w:sz w:val="47"/>
          <w:szCs w:val="47"/>
        </w:rPr>
        <w:t xml:space="preserve">Auditors “Monkeying Around with Documents,” Top PCAOB Cop Says </w:t>
      </w:r>
    </w:p>
    <w:p w:rsidR="00F3312F" w:rsidRDefault="00F3312F" w:rsidP="00F3312F">
      <w:pPr>
        <w:spacing w:after="75" w:line="336" w:lineRule="atLeast"/>
        <w:rPr>
          <w:rFonts w:ascii="Georgia" w:hAnsi="Georgia"/>
          <w:color w:val="000000"/>
          <w:sz w:val="21"/>
          <w:szCs w:val="21"/>
        </w:rPr>
      </w:pPr>
      <w:r>
        <w:rPr>
          <w:rFonts w:ascii="Georgia" w:hAnsi="Georgia"/>
          <w:color w:val="000000"/>
          <w:sz w:val="21"/>
          <w:szCs w:val="21"/>
        </w:rPr>
        <w:t xml:space="preserve">The agency's probes </w:t>
      </w:r>
      <w:proofErr w:type="gramStart"/>
      <w:r>
        <w:rPr>
          <w:rFonts w:ascii="Georgia" w:hAnsi="Georgia"/>
          <w:color w:val="000000"/>
          <w:sz w:val="21"/>
          <w:szCs w:val="21"/>
        </w:rPr>
        <w:t>are being hamstrung</w:t>
      </w:r>
      <w:proofErr w:type="gramEnd"/>
      <w:r>
        <w:rPr>
          <w:rFonts w:ascii="Georgia" w:hAnsi="Georgia"/>
          <w:color w:val="000000"/>
          <w:sz w:val="21"/>
          <w:szCs w:val="21"/>
        </w:rPr>
        <w:t xml:space="preserve"> by non-cooperation, the oversight board's enforcement chief contends.</w:t>
      </w:r>
    </w:p>
    <w:p w:rsidR="00F3312F" w:rsidRDefault="00F3312F" w:rsidP="00F3312F">
      <w:pPr>
        <w:spacing w:line="336" w:lineRule="atLeast"/>
        <w:rPr>
          <w:rFonts w:ascii="Georgia" w:hAnsi="Georgia"/>
          <w:color w:val="000000"/>
          <w:sz w:val="19"/>
          <w:szCs w:val="19"/>
        </w:rPr>
      </w:pPr>
      <w:hyperlink r:id="rId6" w:history="1">
        <w:r>
          <w:rPr>
            <w:rFonts w:ascii="Georgia" w:hAnsi="Georgia"/>
            <w:color w:val="004073"/>
            <w:sz w:val="19"/>
            <w:szCs w:val="19"/>
          </w:rPr>
          <w:t>Sarah Johnson</w:t>
        </w:r>
      </w:hyperlink>
    </w:p>
    <w:bookmarkStart w:id="0" w:name="_GoBack"/>
    <w:bookmarkEnd w:id="0"/>
    <w:p w:rsidR="00F3312F" w:rsidRDefault="00F3312F" w:rsidP="00F3312F">
      <w:pPr>
        <w:spacing w:line="336" w:lineRule="atLeast"/>
        <w:rPr>
          <w:rFonts w:ascii="Georgia" w:hAnsi="Georgia"/>
          <w:color w:val="000000"/>
          <w:sz w:val="19"/>
          <w:szCs w:val="19"/>
        </w:rPr>
      </w:pPr>
      <w:r>
        <w:rPr>
          <w:rFonts w:ascii="Georgia" w:hAnsi="Georgia"/>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7" o:title=""/>
          </v:shape>
          <w:control r:id="rId8" w:name="DefaultOcxName" w:shapeid="_x0000_i1027"/>
        </w:objec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t xml:space="preserve">Claudius </w:t>
      </w:r>
      <w:proofErr w:type="spellStart"/>
      <w:r>
        <w:rPr>
          <w:rFonts w:ascii="Georgia" w:hAnsi="Georgia"/>
          <w:color w:val="000000"/>
          <w:sz w:val="22"/>
          <w:szCs w:val="22"/>
        </w:rPr>
        <w:t>Modesti</w:t>
      </w:r>
      <w:proofErr w:type="spellEnd"/>
      <w:r>
        <w:rPr>
          <w:rFonts w:ascii="Georgia" w:hAnsi="Georgia"/>
          <w:color w:val="000000"/>
          <w:sz w:val="22"/>
          <w:szCs w:val="22"/>
        </w:rPr>
        <w:t>, the director of the Public Company Accounting Oversight Board’s Division of Enforcement and Investigations, revealed yesterday that the PCAOB is running into resistance -- and even evidence of tampering -- by the accounting firms it regulates. “We’re facing a non-cooperation situation across audit firms of various sizes,” he said during a Practicing Law Institute event.</w: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t>When the</w:t>
      </w:r>
      <w:r>
        <w:rPr>
          <w:rStyle w:val="Strong"/>
          <w:rFonts w:ascii="Georgia" w:hAnsi="Georgia"/>
          <w:color w:val="000000"/>
          <w:sz w:val="22"/>
          <w:szCs w:val="22"/>
        </w:rPr>
        <w:t xml:space="preserve"> </w:t>
      </w:r>
      <w:r>
        <w:rPr>
          <w:rFonts w:ascii="Georgia" w:hAnsi="Georgia"/>
          <w:color w:val="000000"/>
          <w:sz w:val="22"/>
          <w:szCs w:val="22"/>
        </w:rPr>
        <w:t>PCAOB’s</w:t>
      </w:r>
      <w:r>
        <w:rPr>
          <w:rStyle w:val="Strong"/>
          <w:rFonts w:ascii="Georgia" w:hAnsi="Georgia"/>
          <w:color w:val="000000"/>
          <w:sz w:val="22"/>
          <w:szCs w:val="22"/>
        </w:rPr>
        <w:t xml:space="preserve"> </w:t>
      </w:r>
      <w:r>
        <w:rPr>
          <w:rFonts w:ascii="Georgia" w:hAnsi="Georgia"/>
          <w:color w:val="000000"/>
          <w:sz w:val="22"/>
          <w:szCs w:val="22"/>
        </w:rPr>
        <w:t xml:space="preserve">inspectors tell a firm they are coming to look over its work, “people will start monkeying around with documents,” </w:t>
      </w:r>
      <w:proofErr w:type="spellStart"/>
      <w:r>
        <w:rPr>
          <w:rFonts w:ascii="Georgia" w:hAnsi="Georgia"/>
          <w:color w:val="000000"/>
          <w:sz w:val="22"/>
          <w:szCs w:val="22"/>
        </w:rPr>
        <w:t>Modesti</w:t>
      </w:r>
      <w:proofErr w:type="spellEnd"/>
      <w:r>
        <w:rPr>
          <w:rFonts w:ascii="Georgia" w:hAnsi="Georgia"/>
          <w:color w:val="000000"/>
          <w:sz w:val="22"/>
          <w:szCs w:val="22"/>
        </w:rPr>
        <w:t xml:space="preserve"> says. Most of these incidents </w:t>
      </w:r>
      <w:proofErr w:type="gramStart"/>
      <w:r>
        <w:rPr>
          <w:rFonts w:ascii="Georgia" w:hAnsi="Georgia"/>
          <w:color w:val="000000"/>
          <w:sz w:val="22"/>
          <w:szCs w:val="22"/>
        </w:rPr>
        <w:t>are hidden</w:t>
      </w:r>
      <w:proofErr w:type="gramEnd"/>
      <w:r>
        <w:rPr>
          <w:rFonts w:ascii="Georgia" w:hAnsi="Georgia"/>
          <w:color w:val="000000"/>
          <w:sz w:val="22"/>
          <w:szCs w:val="22"/>
        </w:rPr>
        <w:t xml:space="preserve"> from public view, however, since details about the PCAOB’s routine inspections are scarce. </w:t>
      </w:r>
      <w:proofErr w:type="gramStart"/>
      <w:r>
        <w:rPr>
          <w:rFonts w:ascii="Georgia" w:hAnsi="Georgia"/>
          <w:color w:val="000000"/>
          <w:sz w:val="22"/>
          <w:szCs w:val="22"/>
        </w:rPr>
        <w:t>And</w:t>
      </w:r>
      <w:proofErr w:type="gramEnd"/>
      <w:r>
        <w:rPr>
          <w:rFonts w:ascii="Georgia" w:hAnsi="Georgia"/>
          <w:color w:val="000000"/>
          <w:sz w:val="22"/>
          <w:szCs w:val="22"/>
        </w:rPr>
        <w:t xml:space="preserve"> until a settlement is reached, the regulator can’t disclose</w:t>
      </w:r>
      <w:r>
        <w:rPr>
          <w:rStyle w:val="Strong"/>
          <w:rFonts w:ascii="Georgia" w:hAnsi="Georgia"/>
          <w:color w:val="000000"/>
          <w:sz w:val="22"/>
          <w:szCs w:val="22"/>
        </w:rPr>
        <w:t xml:space="preserve"> </w:t>
      </w:r>
      <w:r>
        <w:rPr>
          <w:rFonts w:ascii="Georgia" w:hAnsi="Georgia"/>
          <w:color w:val="000000"/>
          <w:sz w:val="22"/>
          <w:szCs w:val="22"/>
        </w:rPr>
        <w:t>anything about ongoing investigations that could lead to enforcement actions</w:t>
      </w:r>
      <w:r>
        <w:rPr>
          <w:rStyle w:val="Strong"/>
          <w:rFonts w:ascii="Georgia" w:hAnsi="Georgia"/>
          <w:color w:val="000000"/>
          <w:sz w:val="22"/>
          <w:szCs w:val="22"/>
        </w:rPr>
        <w:t>.</w:t>
      </w:r>
    </w:p>
    <w:p w:rsidR="00F3312F" w:rsidRDefault="00F3312F" w:rsidP="00F3312F">
      <w:pPr>
        <w:spacing w:after="300" w:line="360" w:lineRule="atLeast"/>
        <w:rPr>
          <w:rFonts w:ascii="Georgia" w:hAnsi="Georgia"/>
          <w:color w:val="000000"/>
          <w:sz w:val="22"/>
          <w:szCs w:val="22"/>
        </w:rPr>
      </w:pPr>
      <w:proofErr w:type="gramStart"/>
      <w:r>
        <w:rPr>
          <w:rFonts w:ascii="Georgia" w:hAnsi="Georgia"/>
          <w:color w:val="000000"/>
          <w:sz w:val="22"/>
          <w:szCs w:val="22"/>
        </w:rPr>
        <w:t>But</w:t>
      </w:r>
      <w:proofErr w:type="gramEnd"/>
      <w:r>
        <w:rPr>
          <w:rFonts w:ascii="Georgia" w:hAnsi="Georgia"/>
          <w:color w:val="000000"/>
          <w:sz w:val="22"/>
          <w:szCs w:val="22"/>
        </w:rPr>
        <w:t xml:space="preserve"> one case finalized last summer did publicize at least one such incident. Last August, the PCAOB imposed </w:t>
      </w:r>
      <w:hyperlink r:id="rId9" w:tgtFrame="_blank" w:history="1">
        <w:r>
          <w:rPr>
            <w:rFonts w:ascii="Georgia" w:hAnsi="Georgia"/>
            <w:color w:val="004073"/>
            <w:sz w:val="22"/>
            <w:szCs w:val="22"/>
          </w:rPr>
          <w:t>a three-year bar on a former Ernst &amp; Young partner</w:t>
        </w:r>
      </w:hyperlink>
      <w:r>
        <w:rPr>
          <w:rFonts w:ascii="Georgia" w:hAnsi="Georgia"/>
          <w:color w:val="000000"/>
          <w:sz w:val="22"/>
          <w:szCs w:val="22"/>
        </w:rPr>
        <w:t xml:space="preserve"> accused of changing and backdating documents the regulator used for evaluating the firm’s work. The accountant, Peter O’Toole, also agreed to pay a $50</w:t>
      </w:r>
      <w:proofErr w:type="gramStart"/>
      <w:r>
        <w:rPr>
          <w:rFonts w:ascii="Georgia" w:hAnsi="Georgia"/>
          <w:color w:val="000000"/>
          <w:sz w:val="22"/>
          <w:szCs w:val="22"/>
        </w:rPr>
        <w:t>,0000</w:t>
      </w:r>
      <w:proofErr w:type="gramEnd"/>
      <w:r>
        <w:rPr>
          <w:rFonts w:ascii="Georgia" w:hAnsi="Georgia"/>
          <w:color w:val="000000"/>
          <w:sz w:val="22"/>
          <w:szCs w:val="22"/>
        </w:rPr>
        <w:t xml:space="preserve"> penalty. </w: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t xml:space="preserve">However, if the PCAOB is pursuing any other similar enforcement actions against accountants or accounting firms for tampering with evidence, </w:t>
      </w:r>
      <w:proofErr w:type="gramStart"/>
      <w:r>
        <w:rPr>
          <w:rFonts w:ascii="Georgia" w:hAnsi="Georgia"/>
          <w:color w:val="000000"/>
          <w:sz w:val="22"/>
          <w:szCs w:val="22"/>
        </w:rPr>
        <w:t>it's</w:t>
      </w:r>
      <w:proofErr w:type="gramEnd"/>
      <w:r>
        <w:rPr>
          <w:rFonts w:ascii="Georgia" w:hAnsi="Georgia"/>
          <w:color w:val="000000"/>
          <w:sz w:val="22"/>
          <w:szCs w:val="22"/>
        </w:rPr>
        <w:t xml:space="preserve"> not public knowledge. Nothing about PCAOB proceedings</w:t>
      </w:r>
      <w:r>
        <w:rPr>
          <w:rStyle w:val="Strong"/>
          <w:rFonts w:ascii="Georgia" w:hAnsi="Georgia"/>
          <w:color w:val="000000"/>
          <w:sz w:val="22"/>
          <w:szCs w:val="22"/>
        </w:rPr>
        <w:t xml:space="preserve"> </w:t>
      </w:r>
      <w:r>
        <w:rPr>
          <w:rFonts w:ascii="Georgia" w:hAnsi="Georgia"/>
          <w:color w:val="000000"/>
          <w:sz w:val="22"/>
          <w:szCs w:val="22"/>
        </w:rPr>
        <w:t xml:space="preserve">– not even the fact that an accounting firm is under investigation – </w:t>
      </w:r>
      <w:proofErr w:type="gramStart"/>
      <w:r>
        <w:rPr>
          <w:rFonts w:ascii="Georgia" w:hAnsi="Georgia"/>
          <w:color w:val="000000"/>
          <w:sz w:val="22"/>
          <w:szCs w:val="22"/>
        </w:rPr>
        <w:t>can be publicly revealed</w:t>
      </w:r>
      <w:proofErr w:type="gramEnd"/>
      <w:r>
        <w:rPr>
          <w:rFonts w:ascii="Georgia" w:hAnsi="Georgia"/>
          <w:color w:val="000000"/>
          <w:sz w:val="22"/>
          <w:szCs w:val="22"/>
        </w:rPr>
        <w:t xml:space="preserve"> until after a settlement. As a result, respondents to its accusations tend to push back for delays.</w: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t xml:space="preserve">The delays and cloaked status of these cases </w:t>
      </w:r>
      <w:proofErr w:type="gramStart"/>
      <w:r>
        <w:rPr>
          <w:rFonts w:ascii="Georgia" w:hAnsi="Georgia"/>
          <w:color w:val="000000"/>
          <w:sz w:val="22"/>
          <w:szCs w:val="22"/>
        </w:rPr>
        <w:t>haven't</w:t>
      </w:r>
      <w:proofErr w:type="gramEnd"/>
      <w:r>
        <w:rPr>
          <w:rFonts w:ascii="Georgia" w:hAnsi="Georgia"/>
          <w:color w:val="000000"/>
          <w:sz w:val="22"/>
          <w:szCs w:val="22"/>
        </w:rPr>
        <w:t xml:space="preserve"> sat well with PCAOB board members and staff. </w:t>
      </w:r>
      <w:proofErr w:type="gramStart"/>
      <w:r>
        <w:rPr>
          <w:rFonts w:ascii="Georgia" w:hAnsi="Georgia"/>
          <w:color w:val="000000"/>
          <w:sz w:val="22"/>
          <w:szCs w:val="22"/>
        </w:rPr>
        <w:t>They've</w:t>
      </w:r>
      <w:proofErr w:type="gramEnd"/>
      <w:r>
        <w:rPr>
          <w:rFonts w:ascii="Georgia" w:hAnsi="Georgia"/>
          <w:color w:val="000000"/>
          <w:sz w:val="22"/>
          <w:szCs w:val="22"/>
        </w:rPr>
        <w:t xml:space="preserve"> requested legislation to address what they see as the problem that the public is not receiving information it needs to know. They have urged Congress to tweak the Sarbanes-Oxley Act so that more information about ongoing litigation between the Board and accounting firms </w:t>
      </w:r>
      <w:proofErr w:type="gramStart"/>
      <w:r>
        <w:rPr>
          <w:rFonts w:ascii="Georgia" w:hAnsi="Georgia"/>
          <w:color w:val="000000"/>
          <w:sz w:val="22"/>
          <w:szCs w:val="22"/>
        </w:rPr>
        <w:t>can be disclosed</w:t>
      </w:r>
      <w:proofErr w:type="gramEnd"/>
      <w:r>
        <w:rPr>
          <w:rFonts w:ascii="Georgia" w:hAnsi="Georgia"/>
          <w:color w:val="000000"/>
          <w:sz w:val="22"/>
          <w:szCs w:val="22"/>
        </w:rPr>
        <w:t xml:space="preserve">. </w: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lastRenderedPageBreak/>
        <w:t xml:space="preserve">Sometimes, the PCAOB may be scrutinizing the actions of an accounting firm related to a significant Securities and Exchange Commission against a company. </w:t>
      </w:r>
      <w:proofErr w:type="gramStart"/>
      <w:r>
        <w:rPr>
          <w:rFonts w:ascii="Georgia" w:hAnsi="Georgia"/>
          <w:color w:val="000000"/>
          <w:sz w:val="22"/>
          <w:szCs w:val="22"/>
        </w:rPr>
        <w:t>But</w:t>
      </w:r>
      <w:proofErr w:type="gramEnd"/>
      <w:r>
        <w:rPr>
          <w:rFonts w:ascii="Georgia" w:hAnsi="Georgia"/>
          <w:color w:val="000000"/>
          <w:sz w:val="22"/>
          <w:szCs w:val="22"/>
        </w:rPr>
        <w:t xml:space="preserve"> even in such cases, the public may not be aware of the fact that the PCAOB is pursuing an enforcement action against the company's accounting firm, </w:t>
      </w:r>
      <w:proofErr w:type="spellStart"/>
      <w:r>
        <w:rPr>
          <w:rFonts w:ascii="Georgia" w:hAnsi="Georgia"/>
          <w:color w:val="000000"/>
          <w:sz w:val="22"/>
          <w:szCs w:val="22"/>
        </w:rPr>
        <w:t>Modesti</w:t>
      </w:r>
      <w:proofErr w:type="spellEnd"/>
      <w:r>
        <w:rPr>
          <w:rFonts w:ascii="Georgia" w:hAnsi="Georgia"/>
          <w:color w:val="000000"/>
          <w:sz w:val="22"/>
          <w:szCs w:val="22"/>
        </w:rPr>
        <w:t xml:space="preserve"> noted. </w:t>
      </w:r>
      <w:proofErr w:type="gramStart"/>
      <w:r>
        <w:rPr>
          <w:rFonts w:ascii="Georgia" w:hAnsi="Georgia"/>
          <w:color w:val="000000"/>
          <w:sz w:val="22"/>
          <w:szCs w:val="22"/>
        </w:rPr>
        <w:t>As a result, there is a significant delay on any deterrent effect such an action would have on auditor misdeeds.</w:t>
      </w:r>
      <w:proofErr w:type="gramEnd"/>
      <w:r>
        <w:rPr>
          <w:rFonts w:ascii="Georgia" w:hAnsi="Georgia"/>
          <w:color w:val="000000"/>
          <w:sz w:val="22"/>
          <w:szCs w:val="22"/>
        </w:rPr>
        <w:t xml:space="preserve"> Bills in the House of Representatives and the Senate would make the PCAOB’s disciplinary proceedings public.</w:t>
      </w:r>
    </w:p>
    <w:p w:rsidR="00F3312F" w:rsidRDefault="00F3312F" w:rsidP="00F3312F">
      <w:pPr>
        <w:spacing w:after="300" w:line="360" w:lineRule="atLeast"/>
        <w:rPr>
          <w:rFonts w:ascii="Georgia" w:hAnsi="Georgia"/>
          <w:color w:val="000000"/>
          <w:sz w:val="22"/>
          <w:szCs w:val="22"/>
        </w:rPr>
      </w:pPr>
      <w:r>
        <w:rPr>
          <w:rFonts w:ascii="Georgia" w:hAnsi="Georgia"/>
          <w:color w:val="000000"/>
          <w:sz w:val="22"/>
          <w:szCs w:val="22"/>
        </w:rPr>
        <w:t xml:space="preserve">Similarly, the SEC faces a battle with witnesses to misconduct who are “less than candid,” according to Robert </w:t>
      </w:r>
      <w:proofErr w:type="spellStart"/>
      <w:r>
        <w:rPr>
          <w:rFonts w:ascii="Georgia" w:hAnsi="Georgia"/>
          <w:color w:val="000000"/>
          <w:sz w:val="22"/>
          <w:szCs w:val="22"/>
        </w:rPr>
        <w:t>Khuzami</w:t>
      </w:r>
      <w:proofErr w:type="spellEnd"/>
      <w:r>
        <w:rPr>
          <w:rFonts w:ascii="Georgia" w:hAnsi="Georgia"/>
          <w:color w:val="000000"/>
          <w:sz w:val="22"/>
          <w:szCs w:val="22"/>
        </w:rPr>
        <w:t>, director of the SEC’s Division of Enforcement, who also spoke at the PLI event, which was largely attended by corporate attorneys.</w:t>
      </w:r>
    </w:p>
    <w:p w:rsidR="00F3312F" w:rsidRDefault="00F3312F" w:rsidP="00F3312F">
      <w:pPr>
        <w:spacing w:after="300" w:line="360" w:lineRule="atLeast"/>
        <w:rPr>
          <w:rFonts w:ascii="Georgia" w:hAnsi="Georgia"/>
          <w:color w:val="000000"/>
          <w:sz w:val="22"/>
          <w:szCs w:val="22"/>
        </w:rPr>
      </w:pPr>
      <w:proofErr w:type="spellStart"/>
      <w:r>
        <w:rPr>
          <w:rFonts w:ascii="Georgia" w:hAnsi="Georgia"/>
          <w:color w:val="000000"/>
          <w:sz w:val="22"/>
          <w:szCs w:val="22"/>
        </w:rPr>
        <w:t>Khuzami</w:t>
      </w:r>
      <w:proofErr w:type="spellEnd"/>
      <w:r>
        <w:rPr>
          <w:rFonts w:ascii="Georgia" w:hAnsi="Georgia"/>
          <w:color w:val="000000"/>
          <w:sz w:val="22"/>
          <w:szCs w:val="22"/>
        </w:rPr>
        <w:t xml:space="preserve"> expressed envy of the Commodity Futures Trading Commission, which recently gained the authority to go after witnesses who lie to it. While people who give inaccurate testimony to the SEC are subject to criminal perjury charges, the SEC itself </w:t>
      </w:r>
      <w:proofErr w:type="gramStart"/>
      <w:r>
        <w:rPr>
          <w:rFonts w:ascii="Georgia" w:hAnsi="Georgia"/>
          <w:color w:val="000000"/>
          <w:sz w:val="22"/>
          <w:szCs w:val="22"/>
        </w:rPr>
        <w:t>can’t</w:t>
      </w:r>
      <w:proofErr w:type="gramEnd"/>
      <w:r>
        <w:rPr>
          <w:rFonts w:ascii="Georgia" w:hAnsi="Georgia"/>
          <w:color w:val="000000"/>
          <w:sz w:val="22"/>
          <w:szCs w:val="22"/>
        </w:rPr>
        <w:t xml:space="preserve"> penalize them. “It’s a serious problem, and frankly I wish we had the authority that the CFTC has,” </w:t>
      </w:r>
      <w:proofErr w:type="spellStart"/>
      <w:r>
        <w:rPr>
          <w:rFonts w:ascii="Georgia" w:hAnsi="Georgia"/>
          <w:color w:val="000000"/>
          <w:sz w:val="22"/>
          <w:szCs w:val="22"/>
        </w:rPr>
        <w:t>Khuzami</w:t>
      </w:r>
      <w:proofErr w:type="spellEnd"/>
      <w:r>
        <w:rPr>
          <w:rFonts w:ascii="Georgia" w:hAnsi="Georgia"/>
          <w:color w:val="000000"/>
          <w:sz w:val="22"/>
          <w:szCs w:val="22"/>
        </w:rPr>
        <w:t xml:space="preserve"> said.</w:t>
      </w:r>
    </w:p>
    <w:p w:rsidR="00431EB1" w:rsidRDefault="00431EB1"/>
    <w:sectPr w:rsidR="00431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C87"/>
    <w:multiLevelType w:val="multilevel"/>
    <w:tmpl w:val="FCB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2F"/>
    <w:rsid w:val="00431EB1"/>
    <w:rsid w:val="00AB5C41"/>
    <w:rsid w:val="00F3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12F"/>
    <w:rPr>
      <w:b/>
      <w:bCs/>
    </w:rPr>
  </w:style>
  <w:style w:type="character" w:customStyle="1" w:styleId="ata11y">
    <w:name w:val="at_a11y"/>
    <w:basedOn w:val="DefaultParagraphFont"/>
    <w:rsid w:val="00F3312F"/>
  </w:style>
  <w:style w:type="character" w:customStyle="1" w:styleId="addthisseparator3">
    <w:name w:val="addthis_separator3"/>
    <w:basedOn w:val="DefaultParagraphFont"/>
    <w:rsid w:val="00F3312F"/>
  </w:style>
  <w:style w:type="character" w:customStyle="1" w:styleId="rating">
    <w:name w:val="rating"/>
    <w:basedOn w:val="DefaultParagraphFont"/>
    <w:rsid w:val="00F3312F"/>
  </w:style>
  <w:style w:type="character" w:customStyle="1" w:styleId="txtsize1">
    <w:name w:val="txtsize1"/>
    <w:basedOn w:val="DefaultParagraphFont"/>
    <w:rsid w:val="00F3312F"/>
    <w:rPr>
      <w:color w:val="000000"/>
      <w:sz w:val="20"/>
      <w:szCs w:val="20"/>
    </w:rPr>
  </w:style>
  <w:style w:type="paragraph" w:styleId="BalloonText">
    <w:name w:val="Balloon Text"/>
    <w:basedOn w:val="Normal"/>
    <w:link w:val="BalloonTextChar"/>
    <w:rsid w:val="00F3312F"/>
    <w:rPr>
      <w:rFonts w:ascii="Tahoma" w:hAnsi="Tahoma" w:cs="Tahoma"/>
      <w:sz w:val="16"/>
      <w:szCs w:val="16"/>
    </w:rPr>
  </w:style>
  <w:style w:type="character" w:customStyle="1" w:styleId="BalloonTextChar">
    <w:name w:val="Balloon Text Char"/>
    <w:basedOn w:val="DefaultParagraphFont"/>
    <w:link w:val="BalloonText"/>
    <w:rsid w:val="00F33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12F"/>
    <w:rPr>
      <w:b/>
      <w:bCs/>
    </w:rPr>
  </w:style>
  <w:style w:type="character" w:customStyle="1" w:styleId="ata11y">
    <w:name w:val="at_a11y"/>
    <w:basedOn w:val="DefaultParagraphFont"/>
    <w:rsid w:val="00F3312F"/>
  </w:style>
  <w:style w:type="character" w:customStyle="1" w:styleId="addthisseparator3">
    <w:name w:val="addthis_separator3"/>
    <w:basedOn w:val="DefaultParagraphFont"/>
    <w:rsid w:val="00F3312F"/>
  </w:style>
  <w:style w:type="character" w:customStyle="1" w:styleId="rating">
    <w:name w:val="rating"/>
    <w:basedOn w:val="DefaultParagraphFont"/>
    <w:rsid w:val="00F3312F"/>
  </w:style>
  <w:style w:type="character" w:customStyle="1" w:styleId="txtsize1">
    <w:name w:val="txtsize1"/>
    <w:basedOn w:val="DefaultParagraphFont"/>
    <w:rsid w:val="00F3312F"/>
    <w:rPr>
      <w:color w:val="000000"/>
      <w:sz w:val="20"/>
      <w:szCs w:val="20"/>
    </w:rPr>
  </w:style>
  <w:style w:type="paragraph" w:styleId="BalloonText">
    <w:name w:val="Balloon Text"/>
    <w:basedOn w:val="Normal"/>
    <w:link w:val="BalloonTextChar"/>
    <w:rsid w:val="00F3312F"/>
    <w:rPr>
      <w:rFonts w:ascii="Tahoma" w:hAnsi="Tahoma" w:cs="Tahoma"/>
      <w:sz w:val="16"/>
      <w:szCs w:val="16"/>
    </w:rPr>
  </w:style>
  <w:style w:type="character" w:customStyle="1" w:styleId="BalloonTextChar">
    <w:name w:val="Balloon Text Char"/>
    <w:basedOn w:val="DefaultParagraphFont"/>
    <w:link w:val="BalloonText"/>
    <w:rsid w:val="00F3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6324">
      <w:bodyDiv w:val="1"/>
      <w:marLeft w:val="0"/>
      <w:marRight w:val="0"/>
      <w:marTop w:val="0"/>
      <w:marBottom w:val="0"/>
      <w:divBdr>
        <w:top w:val="none" w:sz="0" w:space="0" w:color="auto"/>
        <w:left w:val="none" w:sz="0" w:space="0" w:color="auto"/>
        <w:bottom w:val="none" w:sz="0" w:space="0" w:color="auto"/>
        <w:right w:val="none" w:sz="0" w:space="0" w:color="auto"/>
      </w:divBdr>
      <w:divsChild>
        <w:div w:id="110445932">
          <w:marLeft w:val="0"/>
          <w:marRight w:val="0"/>
          <w:marTop w:val="0"/>
          <w:marBottom w:val="0"/>
          <w:divBdr>
            <w:top w:val="none" w:sz="0" w:space="0" w:color="auto"/>
            <w:left w:val="none" w:sz="0" w:space="0" w:color="auto"/>
            <w:bottom w:val="none" w:sz="0" w:space="0" w:color="auto"/>
            <w:right w:val="none" w:sz="0" w:space="0" w:color="auto"/>
          </w:divBdr>
          <w:divsChild>
            <w:div w:id="975184185">
              <w:marLeft w:val="0"/>
              <w:marRight w:val="0"/>
              <w:marTop w:val="0"/>
              <w:marBottom w:val="0"/>
              <w:divBdr>
                <w:top w:val="none" w:sz="0" w:space="0" w:color="auto"/>
                <w:left w:val="none" w:sz="0" w:space="0" w:color="auto"/>
                <w:bottom w:val="none" w:sz="0" w:space="0" w:color="auto"/>
                <w:right w:val="none" w:sz="0" w:space="0" w:color="auto"/>
              </w:divBdr>
              <w:divsChild>
                <w:div w:id="586966545">
                  <w:marLeft w:val="0"/>
                  <w:marRight w:val="0"/>
                  <w:marTop w:val="0"/>
                  <w:marBottom w:val="0"/>
                  <w:divBdr>
                    <w:top w:val="none" w:sz="0" w:space="0" w:color="auto"/>
                    <w:left w:val="none" w:sz="0" w:space="0" w:color="auto"/>
                    <w:bottom w:val="none" w:sz="0" w:space="0" w:color="auto"/>
                    <w:right w:val="none" w:sz="0" w:space="0" w:color="auto"/>
                  </w:divBdr>
                  <w:divsChild>
                    <w:div w:id="1480881074">
                      <w:marLeft w:val="135"/>
                      <w:marRight w:val="0"/>
                      <w:marTop w:val="0"/>
                      <w:marBottom w:val="0"/>
                      <w:divBdr>
                        <w:top w:val="none" w:sz="0" w:space="0" w:color="auto"/>
                        <w:left w:val="none" w:sz="0" w:space="0" w:color="auto"/>
                        <w:bottom w:val="none" w:sz="0" w:space="0" w:color="auto"/>
                        <w:right w:val="none" w:sz="0" w:space="0" w:color="auto"/>
                      </w:divBdr>
                      <w:divsChild>
                        <w:div w:id="269817379">
                          <w:marLeft w:val="0"/>
                          <w:marRight w:val="0"/>
                          <w:marTop w:val="0"/>
                          <w:marBottom w:val="0"/>
                          <w:divBdr>
                            <w:top w:val="none" w:sz="0" w:space="0" w:color="auto"/>
                            <w:left w:val="none" w:sz="0" w:space="0" w:color="auto"/>
                            <w:bottom w:val="none" w:sz="0" w:space="0" w:color="auto"/>
                            <w:right w:val="none" w:sz="0" w:space="0" w:color="auto"/>
                          </w:divBdr>
                          <w:divsChild>
                            <w:div w:id="1890339162">
                              <w:marLeft w:val="0"/>
                              <w:marRight w:val="0"/>
                              <w:marTop w:val="0"/>
                              <w:marBottom w:val="0"/>
                              <w:divBdr>
                                <w:top w:val="none" w:sz="0" w:space="0" w:color="auto"/>
                                <w:left w:val="none" w:sz="0" w:space="0" w:color="auto"/>
                                <w:bottom w:val="none" w:sz="0" w:space="0" w:color="auto"/>
                                <w:right w:val="none" w:sz="0" w:space="0" w:color="auto"/>
                              </w:divBdr>
                            </w:div>
                            <w:div w:id="1666736369">
                              <w:marLeft w:val="0"/>
                              <w:marRight w:val="0"/>
                              <w:marTop w:val="0"/>
                              <w:marBottom w:val="0"/>
                              <w:divBdr>
                                <w:top w:val="none" w:sz="0" w:space="0" w:color="auto"/>
                                <w:left w:val="none" w:sz="0" w:space="0" w:color="auto"/>
                                <w:bottom w:val="none" w:sz="0" w:space="0" w:color="auto"/>
                                <w:right w:val="none" w:sz="0" w:space="0" w:color="auto"/>
                              </w:divBdr>
                              <w:divsChild>
                                <w:div w:id="711148314">
                                  <w:marLeft w:val="0"/>
                                  <w:marRight w:val="0"/>
                                  <w:marTop w:val="0"/>
                                  <w:marBottom w:val="0"/>
                                  <w:divBdr>
                                    <w:top w:val="none" w:sz="0" w:space="0" w:color="auto"/>
                                    <w:left w:val="none" w:sz="0" w:space="0" w:color="auto"/>
                                    <w:bottom w:val="none" w:sz="0" w:space="0" w:color="auto"/>
                                    <w:right w:val="none" w:sz="0" w:space="0" w:color="auto"/>
                                  </w:divBdr>
                                  <w:divsChild>
                                    <w:div w:id="1454521381">
                                      <w:marLeft w:val="300"/>
                                      <w:marRight w:val="0"/>
                                      <w:marTop w:val="0"/>
                                      <w:marBottom w:val="0"/>
                                      <w:divBdr>
                                        <w:top w:val="none" w:sz="0" w:space="0" w:color="auto"/>
                                        <w:left w:val="none" w:sz="0" w:space="0" w:color="auto"/>
                                        <w:bottom w:val="dotted" w:sz="6" w:space="8" w:color="666666"/>
                                        <w:right w:val="none" w:sz="0" w:space="0" w:color="auto"/>
                                      </w:divBdr>
                                      <w:divsChild>
                                        <w:div w:id="1388334238">
                                          <w:marLeft w:val="0"/>
                                          <w:marRight w:val="0"/>
                                          <w:marTop w:val="0"/>
                                          <w:marBottom w:val="0"/>
                                          <w:divBdr>
                                            <w:top w:val="none" w:sz="0" w:space="0" w:color="auto"/>
                                            <w:left w:val="none" w:sz="0" w:space="0" w:color="auto"/>
                                            <w:bottom w:val="none" w:sz="0" w:space="0" w:color="auto"/>
                                            <w:right w:val="none" w:sz="0" w:space="0" w:color="auto"/>
                                          </w:divBdr>
                                          <w:divsChild>
                                            <w:div w:id="1830486635">
                                              <w:marLeft w:val="0"/>
                                              <w:marRight w:val="0"/>
                                              <w:marTop w:val="0"/>
                                              <w:marBottom w:val="0"/>
                                              <w:divBdr>
                                                <w:top w:val="none" w:sz="0" w:space="0" w:color="auto"/>
                                                <w:left w:val="none" w:sz="0" w:space="0" w:color="auto"/>
                                                <w:bottom w:val="none" w:sz="0" w:space="0" w:color="auto"/>
                                                <w:right w:val="none" w:sz="0" w:space="0" w:color="auto"/>
                                              </w:divBdr>
                                            </w:div>
                                          </w:divsChild>
                                        </w:div>
                                        <w:div w:id="1645350321">
                                          <w:marLeft w:val="0"/>
                                          <w:marRight w:val="0"/>
                                          <w:marTop w:val="0"/>
                                          <w:marBottom w:val="0"/>
                                          <w:divBdr>
                                            <w:top w:val="none" w:sz="0" w:space="0" w:color="auto"/>
                                            <w:left w:val="none" w:sz="0" w:space="0" w:color="auto"/>
                                            <w:bottom w:val="none" w:sz="0" w:space="0" w:color="auto"/>
                                            <w:right w:val="none" w:sz="0" w:space="0" w:color="auto"/>
                                          </w:divBdr>
                                        </w:div>
                                      </w:divsChild>
                                    </w:div>
                                    <w:div w:id="1541674580">
                                      <w:marLeft w:val="0"/>
                                      <w:marRight w:val="0"/>
                                      <w:marTop w:val="0"/>
                                      <w:marBottom w:val="0"/>
                                      <w:divBdr>
                                        <w:top w:val="none" w:sz="0" w:space="0" w:color="auto"/>
                                        <w:left w:val="none" w:sz="0" w:space="0" w:color="auto"/>
                                        <w:bottom w:val="none" w:sz="0" w:space="0" w:color="auto"/>
                                        <w:right w:val="none" w:sz="0" w:space="0" w:color="auto"/>
                                      </w:divBdr>
                                      <w:divsChild>
                                        <w:div w:id="21271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13$lbtnAuthor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cfo.com/article/2011/8/regulation_pcaob-penalizes-ey-auditors-for-altering-work-pap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1</cp:revision>
  <dcterms:created xsi:type="dcterms:W3CDTF">2012-04-28T11:43:00Z</dcterms:created>
  <dcterms:modified xsi:type="dcterms:W3CDTF">2012-04-28T11:43:00Z</dcterms:modified>
</cp:coreProperties>
</file>