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3AB" w:rsidRPr="00CF63AB" w:rsidRDefault="00CF63AB" w:rsidP="00CF63AB">
      <w:pPr>
        <w:widowControl w:val="0"/>
        <w:overflowPunct w:val="0"/>
        <w:autoSpaceDE w:val="0"/>
        <w:autoSpaceDN w:val="0"/>
        <w:adjustRightInd w:val="0"/>
        <w:spacing w:after="0" w:line="240" w:lineRule="auto"/>
        <w:jc w:val="center"/>
        <w:rPr>
          <w:rFonts w:ascii="Calibri" w:eastAsia="Times New Roman" w:hAnsi="Calibri" w:cs="Calibri"/>
          <w:b/>
          <w:bCs/>
          <w:kern w:val="28"/>
        </w:rPr>
      </w:pPr>
      <w:r w:rsidRPr="00CF63AB">
        <w:rPr>
          <w:rFonts w:ascii="Calibri" w:eastAsia="Times New Roman" w:hAnsi="Calibri" w:cs="Calibri"/>
          <w:b/>
          <w:bCs/>
          <w:kern w:val="28"/>
        </w:rPr>
        <w:t>The Fraud of the Century:</w:t>
      </w:r>
    </w:p>
    <w:p w:rsidR="00CF63AB" w:rsidRPr="00CF63AB" w:rsidRDefault="00CF63AB" w:rsidP="00CF63AB">
      <w:pPr>
        <w:widowControl w:val="0"/>
        <w:overflowPunct w:val="0"/>
        <w:autoSpaceDE w:val="0"/>
        <w:autoSpaceDN w:val="0"/>
        <w:adjustRightInd w:val="0"/>
        <w:spacing w:after="0" w:line="240" w:lineRule="auto"/>
        <w:jc w:val="center"/>
        <w:rPr>
          <w:rFonts w:ascii="Calibri" w:eastAsia="Times New Roman" w:hAnsi="Calibri" w:cs="Calibri"/>
          <w:b/>
          <w:bCs/>
          <w:kern w:val="28"/>
        </w:rPr>
      </w:pPr>
      <w:r w:rsidRPr="00CF63AB">
        <w:rPr>
          <w:rFonts w:ascii="Calibri" w:eastAsia="Times New Roman" w:hAnsi="Calibri" w:cs="Calibri"/>
          <w:b/>
          <w:bCs/>
          <w:kern w:val="28"/>
        </w:rPr>
        <w:t>The Case of Bernard Madoff</w:t>
      </w:r>
    </w:p>
    <w:p w:rsidR="00CF63AB" w:rsidRPr="00CF63AB" w:rsidRDefault="00CF63AB" w:rsidP="00CF63AB">
      <w:pPr>
        <w:widowControl w:val="0"/>
        <w:overflowPunct w:val="0"/>
        <w:autoSpaceDE w:val="0"/>
        <w:autoSpaceDN w:val="0"/>
        <w:adjustRightInd w:val="0"/>
        <w:spacing w:after="0" w:line="240" w:lineRule="auto"/>
        <w:jc w:val="center"/>
        <w:rPr>
          <w:rFonts w:ascii="Calibri" w:eastAsia="Times New Roman" w:hAnsi="Calibri" w:cs="Calibri"/>
          <w:b/>
          <w:bCs/>
          <w:kern w:val="28"/>
        </w:rPr>
      </w:pPr>
    </w:p>
    <w:p w:rsidR="00CF63AB" w:rsidRPr="00CF63AB" w:rsidRDefault="00CF63AB" w:rsidP="00CF63AB">
      <w:pPr>
        <w:widowControl w:val="0"/>
        <w:overflowPunct w:val="0"/>
        <w:autoSpaceDE w:val="0"/>
        <w:autoSpaceDN w:val="0"/>
        <w:adjustRightInd w:val="0"/>
        <w:spacing w:after="0" w:line="480" w:lineRule="auto"/>
        <w:rPr>
          <w:rFonts w:ascii="Calibri" w:eastAsia="Times New Roman" w:hAnsi="Calibri" w:cs="Calibri"/>
          <w:kern w:val="28"/>
        </w:rPr>
      </w:pPr>
      <w:r w:rsidRPr="00CF63AB">
        <w:rPr>
          <w:rFonts w:ascii="Calibri" w:eastAsia="Times New Roman" w:hAnsi="Calibri" w:cs="Calibri"/>
          <w:kern w:val="28"/>
        </w:rPr>
        <w:tab/>
        <w:t>The fraud perpetrated by Bernard Madoff which was discovered in December, 2008 is based upon a Ponzi scheme.  Madoff took money from new investors to pay earnings for existing customers.   The greater the payout to retiring and withdrawing customer, the more revenue or clients he would need to start and “investment relationship” with Madoff. The Ponzi scheme was named after Charles Ponzi who in the early 20</w:t>
      </w:r>
      <w:r w:rsidRPr="00CF63AB">
        <w:rPr>
          <w:rFonts w:ascii="Calibri" w:eastAsia="Times New Roman" w:hAnsi="Calibri" w:cs="Calibri"/>
          <w:kern w:val="28"/>
          <w:vertAlign w:val="superscript"/>
        </w:rPr>
        <w:t>th</w:t>
      </w:r>
      <w:r w:rsidRPr="00CF63AB">
        <w:rPr>
          <w:rFonts w:ascii="Calibri" w:eastAsia="Times New Roman" w:hAnsi="Calibri" w:cs="Calibri"/>
          <w:kern w:val="28"/>
        </w:rPr>
        <w:t xml:space="preserve"> Century, saw a way to profit from international reply coupons.  International reply coupons were a guarantee of return postage in response to an international letter.  Charles Ponzi determined that he could make money, legally, by swapping out these coupons for more expensive postage stamps in countries where the stamps were of higher value.  While making a significant profit with this system, Ponzi got the idea of enticing investors to provide him more capital to trade coupons for higher priced postage stamps.  His promise to investors was a 50% profit in a few days.  </w:t>
      </w:r>
    </w:p>
    <w:p w:rsidR="00CF63AB" w:rsidRPr="00CF63AB" w:rsidRDefault="00CF63AB" w:rsidP="00CF63AB">
      <w:pPr>
        <w:widowControl w:val="0"/>
        <w:overflowPunct w:val="0"/>
        <w:autoSpaceDE w:val="0"/>
        <w:autoSpaceDN w:val="0"/>
        <w:adjustRightInd w:val="0"/>
        <w:spacing w:after="0" w:line="480" w:lineRule="auto"/>
        <w:rPr>
          <w:rFonts w:ascii="Calibri" w:eastAsia="Times New Roman" w:hAnsi="Calibri" w:cs="Calibri"/>
          <w:kern w:val="28"/>
        </w:rPr>
      </w:pPr>
      <w:r w:rsidRPr="00CF63AB">
        <w:rPr>
          <w:rFonts w:ascii="Calibri" w:eastAsia="Times New Roman" w:hAnsi="Calibri" w:cs="Calibri"/>
          <w:kern w:val="28"/>
        </w:rPr>
        <w:tab/>
        <w:t>Touted as a financial wizard and the ‘Warren Buffet’ of his day, Ponzi lived outside Boston, he had a fairly opulent life bringing in as much as $250,000/day. Part of Ponzi’s success came from is personal charisma and ability to con even savvy investors.  The promised payout was supported by the new investors anxious to take advantage of these robust returns because he appeared to create an image of power, trust, and responsibility.  In July of 1920, the Boston Post ran an article exposing the scheme and soon after, regulators raided his offices and charging him with mail fraud knowing that his fabricated investment reports were mailed to his clients.  The foundational operating principle of a Ponzi scheme is that you must constantly attract new investors to pay the old investors the ‘gains’ they were promised.  Most Ponzi schemes self-destruct fairly quickly as the ability to keep attracting new investors dwindles.  In the case of Bernard Madoff, he may have perpetuated the fraud for many years.</w:t>
      </w:r>
    </w:p>
    <w:p w:rsidR="00CF63AB" w:rsidRPr="00CF63AB" w:rsidRDefault="00CF63AB" w:rsidP="00CF63AB">
      <w:pPr>
        <w:widowControl w:val="0"/>
        <w:overflowPunct w:val="0"/>
        <w:autoSpaceDE w:val="0"/>
        <w:autoSpaceDN w:val="0"/>
        <w:adjustRightInd w:val="0"/>
        <w:spacing w:after="0" w:line="480" w:lineRule="auto"/>
        <w:rPr>
          <w:rFonts w:ascii="Calibri" w:eastAsia="Times New Roman" w:hAnsi="Calibri" w:cs="Calibri"/>
          <w:kern w:val="28"/>
        </w:rPr>
      </w:pPr>
    </w:p>
    <w:p w:rsidR="00CF63AB" w:rsidRPr="00CF63AB" w:rsidRDefault="00CF63AB" w:rsidP="00CF63AB">
      <w:pPr>
        <w:widowControl w:val="0"/>
        <w:overflowPunct w:val="0"/>
        <w:autoSpaceDE w:val="0"/>
        <w:autoSpaceDN w:val="0"/>
        <w:adjustRightInd w:val="0"/>
        <w:spacing w:after="0" w:line="480" w:lineRule="auto"/>
        <w:rPr>
          <w:rFonts w:ascii="Calibri" w:eastAsia="Times New Roman" w:hAnsi="Calibri" w:cs="Calibri"/>
          <w:kern w:val="28"/>
        </w:rPr>
      </w:pPr>
    </w:p>
    <w:p w:rsidR="00CF63AB" w:rsidRPr="00CF63AB" w:rsidRDefault="00CF63AB" w:rsidP="00CF63AB">
      <w:pPr>
        <w:widowControl w:val="0"/>
        <w:overflowPunct w:val="0"/>
        <w:autoSpaceDE w:val="0"/>
        <w:autoSpaceDN w:val="0"/>
        <w:adjustRightInd w:val="0"/>
        <w:spacing w:after="0" w:line="480" w:lineRule="auto"/>
        <w:rPr>
          <w:rFonts w:ascii="Calibri" w:eastAsia="Times New Roman" w:hAnsi="Calibri" w:cs="Calibri"/>
          <w:kern w:val="28"/>
        </w:rPr>
      </w:pPr>
    </w:p>
    <w:p w:rsidR="00CF63AB" w:rsidRPr="00CF63AB" w:rsidRDefault="00CF63AB" w:rsidP="00CF63AB">
      <w:pPr>
        <w:widowControl w:val="0"/>
        <w:overflowPunct w:val="0"/>
        <w:autoSpaceDE w:val="0"/>
        <w:autoSpaceDN w:val="0"/>
        <w:adjustRightInd w:val="0"/>
        <w:spacing w:after="0" w:line="480" w:lineRule="auto"/>
        <w:rPr>
          <w:rFonts w:ascii="Calibri" w:eastAsia="Times New Roman" w:hAnsi="Calibri" w:cs="Calibri"/>
          <w:b/>
          <w:bCs/>
          <w:kern w:val="28"/>
        </w:rPr>
      </w:pPr>
      <w:r w:rsidRPr="00CF63AB">
        <w:rPr>
          <w:rFonts w:ascii="Calibri" w:eastAsia="Times New Roman" w:hAnsi="Calibri" w:cs="Calibri"/>
          <w:b/>
          <w:bCs/>
          <w:kern w:val="28"/>
        </w:rPr>
        <w:lastRenderedPageBreak/>
        <w:t>Bernard L. Madoff Investment Securities LLC: ‘All in the Family’</w:t>
      </w:r>
    </w:p>
    <w:p w:rsidR="00CF63AB" w:rsidRPr="00CF63AB" w:rsidRDefault="00CF63AB" w:rsidP="00CF63AB">
      <w:pPr>
        <w:widowControl w:val="0"/>
        <w:overflowPunct w:val="0"/>
        <w:autoSpaceDE w:val="0"/>
        <w:autoSpaceDN w:val="0"/>
        <w:adjustRightInd w:val="0"/>
        <w:spacing w:after="0" w:line="480" w:lineRule="auto"/>
        <w:rPr>
          <w:rFonts w:ascii="Calibri" w:eastAsia="Times New Roman" w:hAnsi="Calibri" w:cs="Calibri"/>
          <w:kern w:val="28"/>
        </w:rPr>
      </w:pPr>
      <w:r w:rsidRPr="00CF63AB">
        <w:rPr>
          <w:rFonts w:ascii="Calibri" w:eastAsia="Times New Roman" w:hAnsi="Calibri" w:cs="Calibri"/>
          <w:kern w:val="28"/>
        </w:rPr>
        <w:tab/>
        <w:t>Bernie Madoff started in the investment business by legally buying and selling stocks not listed on the New York Stock Exchange (NYSE).  Started in 1960 as a sole proprietorship, he served as a ‘wholesaler’ between institutional investors.  In the early days, working with investment firms such as A.G. Edwards, Charles Schwab and others he made his money based on the variance between the offer price and sales price of stocks.  In the 1990s, Madoff Securities was trading up to 10% of the NASDAQ shares on certain days. Early success and competitive advantage came from Bernie working with his brother, Peter (the first of several family members to join his firm) who after graduating from law school joined Madoff’s company and developed superior technology for trading buying and selling at the best prices.  Madoff did not operate a hedge fund, which charges a fee for services and holds the money at a custodial bank.  Madoff controlled the funds in house and made his money, in this division, from commissions on sales and profits and as far as has been revealed, the profits were not based on fraud.</w:t>
      </w:r>
    </w:p>
    <w:p w:rsidR="00CF63AB" w:rsidRPr="00CF63AB" w:rsidRDefault="00CF63AB" w:rsidP="00CF63AB">
      <w:pPr>
        <w:widowControl w:val="0"/>
        <w:overflowPunct w:val="0"/>
        <w:autoSpaceDE w:val="0"/>
        <w:autoSpaceDN w:val="0"/>
        <w:adjustRightInd w:val="0"/>
        <w:spacing w:after="0" w:line="480" w:lineRule="auto"/>
        <w:rPr>
          <w:rFonts w:ascii="Calibri" w:eastAsia="Times New Roman" w:hAnsi="Calibri" w:cs="Calibri"/>
          <w:kern w:val="28"/>
        </w:rPr>
      </w:pPr>
      <w:r w:rsidRPr="00CF63AB">
        <w:rPr>
          <w:rFonts w:ascii="Calibri" w:eastAsia="Times New Roman" w:hAnsi="Calibri" w:cs="Calibri"/>
          <w:kern w:val="28"/>
        </w:rPr>
        <w:tab/>
        <w:t xml:space="preserve">As Madoff became more successful, he moved the company’s headquarters from Wall Street to Third Avenue to the red granite “Lipstick Building” built by famed architect Philip Johnson.  Not unlike Ken Lay and his lobbying efforts to deregulate the energy and gas industry, Bernie became more involved in lobbying for regulatory changes which would make it easier to trade electronically.  Peter took on more oversight of the firm’s securities business.  Bernie served as Chairman of the NASDAQ in 1990, 1991, and 1993. Through his successful networking, visibility at the NASDAQ, and promise of consistent returns (10-12%) Bernie was drawing billions of dollars from hundreds of investors.  In addition, he held a seat on the government advisory board on stock market regulation, served on charitable boards and started his own foundation added to his credibility.  He developed respectability and trust as a highly knowledgeable investment specialist. His inaccessibility and ‘invitation only’ approach to new investors created an air of exclusivity and desire to be involved.  It could be equated to the most exclusive of country clubs-the greatest enjoyment is the status of membership.  Ruth Madoff, </w:t>
      </w:r>
      <w:r w:rsidRPr="00CF63AB">
        <w:rPr>
          <w:rFonts w:ascii="Calibri" w:eastAsia="Times New Roman" w:hAnsi="Calibri" w:cs="Calibri"/>
          <w:kern w:val="28"/>
        </w:rPr>
        <w:lastRenderedPageBreak/>
        <w:t>Bernie’s wife, also worked at the firm for a time indicating a family network of relationships in the firm.</w:t>
      </w:r>
    </w:p>
    <w:p w:rsidR="00CF63AB" w:rsidRPr="00CF63AB" w:rsidRDefault="00CF63AB" w:rsidP="00CF63AB">
      <w:pPr>
        <w:widowControl w:val="0"/>
        <w:overflowPunct w:val="0"/>
        <w:autoSpaceDE w:val="0"/>
        <w:autoSpaceDN w:val="0"/>
        <w:adjustRightInd w:val="0"/>
        <w:spacing w:after="0" w:line="480" w:lineRule="auto"/>
        <w:rPr>
          <w:rFonts w:ascii="Calibri" w:eastAsia="Times New Roman" w:hAnsi="Calibri" w:cs="Calibri"/>
          <w:kern w:val="28"/>
        </w:rPr>
      </w:pPr>
      <w:r w:rsidRPr="00CF63AB">
        <w:rPr>
          <w:rFonts w:ascii="Calibri" w:eastAsia="Times New Roman" w:hAnsi="Calibri" w:cs="Calibri"/>
          <w:kern w:val="28"/>
        </w:rPr>
        <w:tab/>
        <w:t>Peter’s niece, Shana Madoff, was a rules and compliance officer at Madoff’s firm and worked under her father who was head of compliance in the market making arm (not the firm’s money management business).  Shana, although not charged with any crimes, is married to Eric Swanson, a former SEC compliance lawyer.  Shana Madoff has a respected career and was honored by the Girl Scouts of America as a “woman of distinction.”</w:t>
      </w:r>
    </w:p>
    <w:p w:rsidR="00CF63AB" w:rsidRPr="00CF63AB" w:rsidRDefault="00CF63AB" w:rsidP="00CF63AB">
      <w:pPr>
        <w:widowControl w:val="0"/>
        <w:overflowPunct w:val="0"/>
        <w:autoSpaceDE w:val="0"/>
        <w:autoSpaceDN w:val="0"/>
        <w:adjustRightInd w:val="0"/>
        <w:spacing w:after="0" w:line="480" w:lineRule="auto"/>
        <w:rPr>
          <w:rFonts w:ascii="Calibri" w:eastAsia="Times New Roman" w:hAnsi="Calibri" w:cs="Calibri"/>
          <w:kern w:val="28"/>
        </w:rPr>
      </w:pPr>
      <w:r w:rsidRPr="00CF63AB">
        <w:rPr>
          <w:rFonts w:ascii="Calibri" w:eastAsia="Times New Roman" w:hAnsi="Calibri" w:cs="Calibri"/>
          <w:kern w:val="28"/>
        </w:rPr>
        <w:tab/>
        <w:t>Although under investigation, neither of Madoff’s sons, Mark and Andrew have been charged with any wrong doing and were responsible for turning their father in when he confessed the fraudulent nature of his investment firm.  Andrew did have money invested in his father’s firm where as Mark took his money out of the firm eight years earlier.  The two deny any knowledge of the fraud.  The family emphasizes the separation of the stock trading business (run on the 19</w:t>
      </w:r>
      <w:r w:rsidRPr="00CF63AB">
        <w:rPr>
          <w:rFonts w:ascii="Calibri" w:eastAsia="Times New Roman" w:hAnsi="Calibri" w:cs="Calibri"/>
          <w:kern w:val="28"/>
          <w:vertAlign w:val="superscript"/>
        </w:rPr>
        <w:t>th</w:t>
      </w:r>
      <w:r w:rsidRPr="00CF63AB">
        <w:rPr>
          <w:rFonts w:ascii="Calibri" w:eastAsia="Times New Roman" w:hAnsi="Calibri" w:cs="Calibri"/>
          <w:kern w:val="28"/>
        </w:rPr>
        <w:t xml:space="preserve"> floor) and the investment management business (run on the 17</w:t>
      </w:r>
      <w:r w:rsidRPr="00CF63AB">
        <w:rPr>
          <w:rFonts w:ascii="Calibri" w:eastAsia="Times New Roman" w:hAnsi="Calibri" w:cs="Calibri"/>
          <w:kern w:val="28"/>
          <w:vertAlign w:val="superscript"/>
        </w:rPr>
        <w:t>th</w:t>
      </w:r>
      <w:r w:rsidRPr="00CF63AB">
        <w:rPr>
          <w:rFonts w:ascii="Calibri" w:eastAsia="Times New Roman" w:hAnsi="Calibri" w:cs="Calibri"/>
          <w:kern w:val="28"/>
        </w:rPr>
        <w:t xml:space="preserve"> floor) by Bernie Madoff. </w:t>
      </w:r>
    </w:p>
    <w:p w:rsidR="00CF63AB" w:rsidRPr="00CF63AB" w:rsidRDefault="00CF63AB" w:rsidP="00CF63AB">
      <w:pPr>
        <w:widowControl w:val="0"/>
        <w:overflowPunct w:val="0"/>
        <w:autoSpaceDE w:val="0"/>
        <w:autoSpaceDN w:val="0"/>
        <w:adjustRightInd w:val="0"/>
        <w:spacing w:after="0" w:line="480" w:lineRule="auto"/>
        <w:rPr>
          <w:rFonts w:ascii="Calibri" w:eastAsia="Times New Roman" w:hAnsi="Calibri" w:cs="Calibri"/>
          <w:kern w:val="28"/>
        </w:rPr>
      </w:pPr>
      <w:r w:rsidRPr="00CF63AB">
        <w:rPr>
          <w:rFonts w:ascii="Calibri" w:eastAsia="Times New Roman" w:hAnsi="Calibri" w:cs="Calibri"/>
          <w:kern w:val="28"/>
        </w:rPr>
        <w:tab/>
        <w:t>In March, 2009 when Bernard Madoff stated his guilt, he never indicated the involvement of any other company employees or family members.  He stated in the Allocution that “I want to emphasize today that while my investment advisory business—the vehicle of my wrongdoing—was part of Bernard L.  Madoff Securities, the other businesses that my firm engaged in, proprietary trading and market making, were legitimate, profitable and successful in all respects. Those businesses were managed by my brother and two sons.” (Madoff Plea Allocution, p. 2)  Further investigation will determine the extent and level of external support which Madoff had in defrauding thousands.  His hiring philosophy for the investment business was to hire inexperienced individuals with no backgrounds in finance.  They may have been unknowing participants.</w:t>
      </w:r>
    </w:p>
    <w:p w:rsidR="00CF63AB" w:rsidRPr="00CF63AB" w:rsidRDefault="00CF63AB" w:rsidP="00CF63AB">
      <w:pPr>
        <w:widowControl w:val="0"/>
        <w:overflowPunct w:val="0"/>
        <w:autoSpaceDE w:val="0"/>
        <w:autoSpaceDN w:val="0"/>
        <w:adjustRightInd w:val="0"/>
        <w:spacing w:after="0" w:line="480" w:lineRule="auto"/>
        <w:rPr>
          <w:rFonts w:ascii="Calibri" w:eastAsia="Times New Roman" w:hAnsi="Calibri" w:cs="Calibri"/>
          <w:kern w:val="28"/>
        </w:rPr>
      </w:pPr>
    </w:p>
    <w:p w:rsidR="00CF63AB" w:rsidRPr="00CF63AB" w:rsidRDefault="00CF63AB" w:rsidP="00CF63AB">
      <w:pPr>
        <w:widowControl w:val="0"/>
        <w:overflowPunct w:val="0"/>
        <w:autoSpaceDE w:val="0"/>
        <w:autoSpaceDN w:val="0"/>
        <w:adjustRightInd w:val="0"/>
        <w:spacing w:after="0" w:line="480" w:lineRule="auto"/>
        <w:rPr>
          <w:rFonts w:ascii="Calibri" w:eastAsia="Times New Roman" w:hAnsi="Calibri" w:cs="Calibri"/>
          <w:kern w:val="28"/>
        </w:rPr>
      </w:pPr>
    </w:p>
    <w:p w:rsidR="00CF63AB" w:rsidRPr="00CF63AB" w:rsidRDefault="00CF63AB" w:rsidP="00CF63AB">
      <w:pPr>
        <w:widowControl w:val="0"/>
        <w:overflowPunct w:val="0"/>
        <w:autoSpaceDE w:val="0"/>
        <w:autoSpaceDN w:val="0"/>
        <w:adjustRightInd w:val="0"/>
        <w:spacing w:after="0" w:line="480" w:lineRule="auto"/>
        <w:rPr>
          <w:rFonts w:ascii="Calibri" w:eastAsia="Times New Roman" w:hAnsi="Calibri" w:cs="Calibri"/>
          <w:b/>
          <w:bCs/>
          <w:kern w:val="28"/>
        </w:rPr>
      </w:pPr>
      <w:r w:rsidRPr="00CF63AB">
        <w:rPr>
          <w:rFonts w:ascii="Calibri" w:eastAsia="Times New Roman" w:hAnsi="Calibri" w:cs="Calibri"/>
          <w:b/>
          <w:bCs/>
          <w:kern w:val="28"/>
        </w:rPr>
        <w:t>Explaining the Growth Numbers</w:t>
      </w:r>
    </w:p>
    <w:p w:rsidR="00CF63AB" w:rsidRPr="00CF63AB" w:rsidRDefault="00CF63AB" w:rsidP="00CF63AB">
      <w:pPr>
        <w:widowControl w:val="0"/>
        <w:overflowPunct w:val="0"/>
        <w:autoSpaceDE w:val="0"/>
        <w:autoSpaceDN w:val="0"/>
        <w:adjustRightInd w:val="0"/>
        <w:spacing w:after="0" w:line="480" w:lineRule="auto"/>
        <w:rPr>
          <w:rFonts w:ascii="Calibri" w:eastAsia="Times New Roman" w:hAnsi="Calibri" w:cs="Calibri"/>
          <w:kern w:val="28"/>
        </w:rPr>
      </w:pPr>
      <w:r w:rsidRPr="00CF63AB">
        <w:rPr>
          <w:rFonts w:ascii="Calibri" w:eastAsia="Times New Roman" w:hAnsi="Calibri" w:cs="Calibri"/>
          <w:b/>
          <w:bCs/>
          <w:kern w:val="28"/>
        </w:rPr>
        <w:lastRenderedPageBreak/>
        <w:tab/>
      </w:r>
      <w:r w:rsidRPr="00CF63AB">
        <w:rPr>
          <w:rFonts w:ascii="Calibri" w:eastAsia="Times New Roman" w:hAnsi="Calibri" w:cs="Calibri"/>
          <w:kern w:val="28"/>
        </w:rPr>
        <w:t>Madoff claimed he could consistently generate 10-12% returns for investors.  Many of his clients were already wealthy and just looking for a stable and constant rate of return. His stated investment strategy was to buy stocks while also trading options on those stocks as a way to limit the potential losses on those stocks.  His market timing strategy was called the “split strike-conversion.”  With the large financial portfolio Madoff managed, many indicate at least one ‘red flag’ would have been the fact that he would have overtaken the market had he traded the options in the volumes necessary to meet his financial goals.  In his “Plea Allocution” statement in March of 2009, he indicated that he never invested any of his client’s funds.  Madoff simply moved money between Chase Manhattan Bank in New York and Madoff Securities International Ltd., a United Kingdom Corporation.  Madoff stated that his fraud began in the early 1990s.</w:t>
      </w:r>
    </w:p>
    <w:p w:rsidR="00CF63AB" w:rsidRPr="00CF63AB" w:rsidRDefault="00CF63AB" w:rsidP="00CF63AB">
      <w:pPr>
        <w:widowControl w:val="0"/>
        <w:overflowPunct w:val="0"/>
        <w:autoSpaceDE w:val="0"/>
        <w:autoSpaceDN w:val="0"/>
        <w:adjustRightInd w:val="0"/>
        <w:spacing w:after="0" w:line="480" w:lineRule="auto"/>
        <w:rPr>
          <w:rFonts w:ascii="Calibri" w:eastAsia="Times New Roman" w:hAnsi="Calibri" w:cs="Calibri"/>
          <w:kern w:val="28"/>
        </w:rPr>
      </w:pPr>
      <w:r w:rsidRPr="00CF63AB">
        <w:rPr>
          <w:rFonts w:ascii="Calibri" w:eastAsia="Times New Roman" w:hAnsi="Calibri" w:cs="Calibri"/>
          <w:b/>
          <w:bCs/>
          <w:kern w:val="28"/>
        </w:rPr>
        <w:tab/>
      </w:r>
      <w:r w:rsidRPr="00CF63AB">
        <w:rPr>
          <w:rFonts w:ascii="Calibri" w:eastAsia="Times New Roman" w:hAnsi="Calibri" w:cs="Calibri"/>
          <w:kern w:val="28"/>
        </w:rPr>
        <w:t xml:space="preserve">Madoff had relationships with intermediaries also known as ‘feeders’ to his investment fund.  These ‘feeders’ trusted Madoff and at this point do not appear to be integrally involved in the fraud. One such middleman, Rene-Thierry </w:t>
      </w:r>
      <w:proofErr w:type="spellStart"/>
      <w:r w:rsidRPr="00CF63AB">
        <w:rPr>
          <w:rFonts w:ascii="Calibri" w:eastAsia="Times New Roman" w:hAnsi="Calibri" w:cs="Calibri"/>
          <w:kern w:val="28"/>
        </w:rPr>
        <w:t>Magon</w:t>
      </w:r>
      <w:proofErr w:type="spellEnd"/>
      <w:r w:rsidRPr="00CF63AB">
        <w:rPr>
          <w:rFonts w:ascii="Calibri" w:eastAsia="Times New Roman" w:hAnsi="Calibri" w:cs="Calibri"/>
          <w:kern w:val="28"/>
        </w:rPr>
        <w:t xml:space="preserve"> de la </w:t>
      </w:r>
      <w:proofErr w:type="spellStart"/>
      <w:r w:rsidRPr="00CF63AB">
        <w:rPr>
          <w:rFonts w:ascii="Calibri" w:eastAsia="Times New Roman" w:hAnsi="Calibri" w:cs="Calibri"/>
          <w:kern w:val="28"/>
        </w:rPr>
        <w:t>Villehuchet</w:t>
      </w:r>
      <w:proofErr w:type="spellEnd"/>
      <w:r w:rsidRPr="00CF63AB">
        <w:rPr>
          <w:rFonts w:ascii="Calibri" w:eastAsia="Times New Roman" w:hAnsi="Calibri" w:cs="Calibri"/>
          <w:kern w:val="28"/>
        </w:rPr>
        <w:t xml:space="preserve"> committed suicide on December 23 after losing his life savings to Madoff.  The middlemen profited by receiving fees and Madoff had a stream of money flowing into his operation.  Robert Jaffe operated as a middleman for Madoff starting in 1989 when he became the manager of Boston based </w:t>
      </w:r>
      <w:proofErr w:type="spellStart"/>
      <w:r w:rsidRPr="00CF63AB">
        <w:rPr>
          <w:rFonts w:ascii="Calibri" w:eastAsia="Times New Roman" w:hAnsi="Calibri" w:cs="Calibri"/>
          <w:kern w:val="28"/>
        </w:rPr>
        <w:t>Cohmad</w:t>
      </w:r>
      <w:proofErr w:type="spellEnd"/>
      <w:r w:rsidRPr="00CF63AB">
        <w:rPr>
          <w:rFonts w:ascii="Calibri" w:eastAsia="Times New Roman" w:hAnsi="Calibri" w:cs="Calibri"/>
          <w:kern w:val="28"/>
        </w:rPr>
        <w:t xml:space="preserve"> Securities, a firm co-owned by Madoff to attract investors.  Jaffe was the son-in-law of one of Madoff’s earliest investors and was a member of the Palm Beach Country Club, where he solicited new investors.  He earned a small profit when Madoff took on an investor Jaffe introduced to him.  </w:t>
      </w:r>
    </w:p>
    <w:p w:rsidR="00CF63AB" w:rsidRPr="00CF63AB" w:rsidRDefault="00CF63AB" w:rsidP="00CF63AB">
      <w:pPr>
        <w:widowControl w:val="0"/>
        <w:overflowPunct w:val="0"/>
        <w:autoSpaceDE w:val="0"/>
        <w:autoSpaceDN w:val="0"/>
        <w:adjustRightInd w:val="0"/>
        <w:spacing w:after="0" w:line="480" w:lineRule="auto"/>
        <w:ind w:firstLine="720"/>
        <w:rPr>
          <w:rFonts w:ascii="Calibri" w:eastAsia="Times New Roman" w:hAnsi="Calibri" w:cs="Calibri"/>
          <w:kern w:val="28"/>
        </w:rPr>
      </w:pPr>
      <w:r w:rsidRPr="00CF63AB">
        <w:rPr>
          <w:rFonts w:ascii="Calibri" w:eastAsia="Times New Roman" w:hAnsi="Calibri" w:cs="Calibri"/>
          <w:kern w:val="28"/>
        </w:rPr>
        <w:t xml:space="preserve">Stanley </w:t>
      </w:r>
      <w:proofErr w:type="spellStart"/>
      <w:r w:rsidRPr="00CF63AB">
        <w:rPr>
          <w:rFonts w:ascii="Calibri" w:eastAsia="Times New Roman" w:hAnsi="Calibri" w:cs="Calibri"/>
          <w:kern w:val="28"/>
        </w:rPr>
        <w:t>Chais</w:t>
      </w:r>
      <w:proofErr w:type="spellEnd"/>
      <w:r w:rsidRPr="00CF63AB">
        <w:rPr>
          <w:rFonts w:ascii="Calibri" w:eastAsia="Times New Roman" w:hAnsi="Calibri" w:cs="Calibri"/>
          <w:kern w:val="28"/>
        </w:rPr>
        <w:t xml:space="preserve"> was a private investor from Beverly Hills who consistently brought in returns of 10-15%.   </w:t>
      </w:r>
      <w:proofErr w:type="spellStart"/>
      <w:r w:rsidRPr="00CF63AB">
        <w:rPr>
          <w:rFonts w:ascii="Calibri" w:eastAsia="Times New Roman" w:hAnsi="Calibri" w:cs="Calibri"/>
          <w:kern w:val="28"/>
        </w:rPr>
        <w:t>Chais</w:t>
      </w:r>
      <w:proofErr w:type="spellEnd"/>
      <w:r w:rsidRPr="00CF63AB">
        <w:rPr>
          <w:rFonts w:ascii="Calibri" w:eastAsia="Times New Roman" w:hAnsi="Calibri" w:cs="Calibri"/>
          <w:kern w:val="28"/>
        </w:rPr>
        <w:t xml:space="preserve"> was funneling all his clients’ money to Madoff.   Investors with </w:t>
      </w:r>
      <w:proofErr w:type="spellStart"/>
      <w:r w:rsidRPr="00CF63AB">
        <w:rPr>
          <w:rFonts w:ascii="Calibri" w:eastAsia="Times New Roman" w:hAnsi="Calibri" w:cs="Calibri"/>
          <w:kern w:val="28"/>
        </w:rPr>
        <w:t>Chais</w:t>
      </w:r>
      <w:proofErr w:type="spellEnd"/>
      <w:r w:rsidRPr="00CF63AB">
        <w:rPr>
          <w:rFonts w:ascii="Calibri" w:eastAsia="Times New Roman" w:hAnsi="Calibri" w:cs="Calibri"/>
          <w:kern w:val="28"/>
        </w:rPr>
        <w:t xml:space="preserve"> claim they thought he was personally managing their money and were not aware of the Madoff connection.  In June, </w:t>
      </w:r>
      <w:proofErr w:type="spellStart"/>
      <w:r w:rsidRPr="00CF63AB">
        <w:rPr>
          <w:rFonts w:ascii="Calibri" w:eastAsia="Times New Roman" w:hAnsi="Calibri" w:cs="Calibri"/>
          <w:kern w:val="28"/>
        </w:rPr>
        <w:t>Chais</w:t>
      </w:r>
      <w:proofErr w:type="spellEnd"/>
      <w:r w:rsidRPr="00CF63AB">
        <w:rPr>
          <w:rFonts w:ascii="Calibri" w:eastAsia="Times New Roman" w:hAnsi="Calibri" w:cs="Calibri"/>
          <w:kern w:val="28"/>
        </w:rPr>
        <w:t xml:space="preserve"> sent a letter to clients informing them that he was moving to Jerusalem for six months for medical reasons and his son would take over in his absence.  </w:t>
      </w:r>
      <w:proofErr w:type="spellStart"/>
      <w:r w:rsidRPr="00CF63AB">
        <w:rPr>
          <w:rFonts w:ascii="Calibri" w:eastAsia="Times New Roman" w:hAnsi="Calibri" w:cs="Calibri"/>
          <w:kern w:val="28"/>
        </w:rPr>
        <w:t>Chais’s</w:t>
      </w:r>
      <w:proofErr w:type="spellEnd"/>
      <w:r w:rsidRPr="00CF63AB">
        <w:rPr>
          <w:rFonts w:ascii="Calibri" w:eastAsia="Times New Roman" w:hAnsi="Calibri" w:cs="Calibri"/>
          <w:kern w:val="28"/>
        </w:rPr>
        <w:t xml:space="preserve"> fortune is claimed to be devastated as is </w:t>
      </w:r>
      <w:r w:rsidRPr="00CF63AB">
        <w:rPr>
          <w:rFonts w:ascii="Calibri" w:eastAsia="Times New Roman" w:hAnsi="Calibri" w:cs="Calibri"/>
          <w:kern w:val="28"/>
        </w:rPr>
        <w:lastRenderedPageBreak/>
        <w:t xml:space="preserve">that of his clients.  In addition, </w:t>
      </w:r>
      <w:proofErr w:type="spellStart"/>
      <w:r w:rsidRPr="00CF63AB">
        <w:rPr>
          <w:rFonts w:ascii="Calibri" w:eastAsia="Times New Roman" w:hAnsi="Calibri" w:cs="Calibri"/>
          <w:kern w:val="28"/>
        </w:rPr>
        <w:t>Chais</w:t>
      </w:r>
      <w:proofErr w:type="spellEnd"/>
      <w:r w:rsidRPr="00CF63AB">
        <w:rPr>
          <w:rFonts w:ascii="Calibri" w:eastAsia="Times New Roman" w:hAnsi="Calibri" w:cs="Calibri"/>
          <w:kern w:val="28"/>
        </w:rPr>
        <w:t xml:space="preserve"> lost significant money in his own charitable fund.</w:t>
      </w:r>
    </w:p>
    <w:p w:rsidR="00CF63AB" w:rsidRPr="00CF63AB" w:rsidRDefault="00CF63AB" w:rsidP="00CF63AB">
      <w:pPr>
        <w:widowControl w:val="0"/>
        <w:overflowPunct w:val="0"/>
        <w:autoSpaceDE w:val="0"/>
        <w:autoSpaceDN w:val="0"/>
        <w:adjustRightInd w:val="0"/>
        <w:spacing w:after="0" w:line="480" w:lineRule="auto"/>
        <w:rPr>
          <w:rFonts w:ascii="Calibri" w:eastAsia="Times New Roman" w:hAnsi="Calibri" w:cs="Calibri"/>
          <w:kern w:val="28"/>
        </w:rPr>
      </w:pPr>
      <w:r w:rsidRPr="00CF63AB">
        <w:rPr>
          <w:rFonts w:ascii="Calibri" w:eastAsia="Times New Roman" w:hAnsi="Calibri" w:cs="Calibri"/>
          <w:kern w:val="28"/>
        </w:rPr>
        <w:tab/>
        <w:t xml:space="preserve">Jeffrey Tucker was an attorney for eight years at the SEC.  Tucker also facilitated the meeting between Fairfield Greenwich Group and Madoff resulting in the loss of $7.3 billion (the biggest known single loss).  Andres </w:t>
      </w:r>
      <w:proofErr w:type="spellStart"/>
      <w:r w:rsidRPr="00CF63AB">
        <w:rPr>
          <w:rFonts w:ascii="Calibri" w:eastAsia="Times New Roman" w:hAnsi="Calibri" w:cs="Calibri"/>
          <w:kern w:val="28"/>
        </w:rPr>
        <w:t>Piedrahita</w:t>
      </w:r>
      <w:proofErr w:type="spellEnd"/>
      <w:r w:rsidRPr="00CF63AB">
        <w:rPr>
          <w:rFonts w:ascii="Calibri" w:eastAsia="Times New Roman" w:hAnsi="Calibri" w:cs="Calibri"/>
          <w:kern w:val="28"/>
        </w:rPr>
        <w:t xml:space="preserve"> wed one of the daughters of Fairfield Greenwich’s co-founder Walter Noel.  </w:t>
      </w:r>
      <w:proofErr w:type="spellStart"/>
      <w:r w:rsidRPr="00CF63AB">
        <w:rPr>
          <w:rFonts w:ascii="Calibri" w:eastAsia="Times New Roman" w:hAnsi="Calibri" w:cs="Calibri"/>
          <w:kern w:val="28"/>
        </w:rPr>
        <w:t>Piedrahita</w:t>
      </w:r>
      <w:proofErr w:type="spellEnd"/>
      <w:r w:rsidRPr="00CF63AB">
        <w:rPr>
          <w:rFonts w:ascii="Calibri" w:eastAsia="Times New Roman" w:hAnsi="Calibri" w:cs="Calibri"/>
          <w:kern w:val="28"/>
        </w:rPr>
        <w:t xml:space="preserve"> joined Greenwich and attracted significant revenue from Europe’s wealthiest families, operating out of a London office.  Wealthy Spanish clients invested just under $50 million with the Group and Madoff.</w:t>
      </w:r>
    </w:p>
    <w:p w:rsidR="00CF63AB" w:rsidRPr="00CF63AB" w:rsidRDefault="00CF63AB" w:rsidP="00CF63AB">
      <w:pPr>
        <w:widowControl w:val="0"/>
        <w:overflowPunct w:val="0"/>
        <w:autoSpaceDE w:val="0"/>
        <w:autoSpaceDN w:val="0"/>
        <w:adjustRightInd w:val="0"/>
        <w:spacing w:after="0" w:line="480" w:lineRule="auto"/>
        <w:rPr>
          <w:rFonts w:ascii="Calibri" w:eastAsia="Times New Roman" w:hAnsi="Calibri" w:cs="Calibri"/>
          <w:kern w:val="28"/>
        </w:rPr>
      </w:pPr>
      <w:r w:rsidRPr="00CF63AB">
        <w:rPr>
          <w:rFonts w:ascii="Calibri" w:eastAsia="Times New Roman" w:hAnsi="Calibri" w:cs="Calibri"/>
          <w:kern w:val="28"/>
        </w:rPr>
        <w:tab/>
        <w:t xml:space="preserve">Robert Schulman operated Tremont Group Holdings after gaining experience working with Smith Barney and Shearson Lehman Brothers.  Investors with Tremont, who ended up with Madoff, lost an estimated $3.3 billion.  Tremont is part of Massachusetts Life Insurance Company that oversees billions of dollars in Oppenheimer Funds mutual fund assets. Tremont helped Mass Mutual enter the hedge fund business. Schulman, at the age of 62, retired from Tremont in the summer of 2008 (nearly 6 months before Madoff’s fraud was exposed).  Schulman claims to have lost money in the Madoff funds and now operates a charity helping women and children who are poor or abused.  None of his charities funds were invested with Madoff at the time the scandal broke. </w:t>
      </w:r>
    </w:p>
    <w:p w:rsidR="00CF63AB" w:rsidRPr="00CF63AB" w:rsidRDefault="00CF63AB" w:rsidP="00CF63AB">
      <w:pPr>
        <w:widowControl w:val="0"/>
        <w:overflowPunct w:val="0"/>
        <w:autoSpaceDE w:val="0"/>
        <w:autoSpaceDN w:val="0"/>
        <w:adjustRightInd w:val="0"/>
        <w:spacing w:after="0" w:line="480" w:lineRule="auto"/>
        <w:rPr>
          <w:rFonts w:ascii="Calibri" w:eastAsia="Times New Roman" w:hAnsi="Calibri" w:cs="Calibri"/>
          <w:kern w:val="28"/>
        </w:rPr>
      </w:pPr>
      <w:r w:rsidRPr="00CF63AB">
        <w:rPr>
          <w:rFonts w:ascii="Calibri" w:eastAsia="Times New Roman" w:hAnsi="Calibri" w:cs="Calibri"/>
          <w:kern w:val="28"/>
        </w:rPr>
        <w:tab/>
        <w:t xml:space="preserve">Swiss Bank Union </w:t>
      </w:r>
      <w:proofErr w:type="spellStart"/>
      <w:r w:rsidRPr="00CF63AB">
        <w:rPr>
          <w:rFonts w:ascii="Calibri" w:eastAsia="Times New Roman" w:hAnsi="Calibri" w:cs="Calibri"/>
          <w:kern w:val="28"/>
        </w:rPr>
        <w:t>Bancaire</w:t>
      </w:r>
      <w:proofErr w:type="spellEnd"/>
      <w:r w:rsidRPr="00CF63AB">
        <w:rPr>
          <w:rFonts w:ascii="Calibri" w:eastAsia="Times New Roman" w:hAnsi="Calibri" w:cs="Calibri"/>
          <w:kern w:val="28"/>
        </w:rPr>
        <w:t xml:space="preserve"> </w:t>
      </w:r>
      <w:proofErr w:type="spellStart"/>
      <w:r w:rsidRPr="00CF63AB">
        <w:rPr>
          <w:rFonts w:ascii="Calibri" w:eastAsia="Times New Roman" w:hAnsi="Calibri" w:cs="Calibri"/>
          <w:kern w:val="28"/>
        </w:rPr>
        <w:t>Privee</w:t>
      </w:r>
      <w:proofErr w:type="spellEnd"/>
      <w:r w:rsidRPr="00CF63AB">
        <w:rPr>
          <w:rFonts w:ascii="Calibri" w:eastAsia="Times New Roman" w:hAnsi="Calibri" w:cs="Calibri"/>
          <w:kern w:val="28"/>
        </w:rPr>
        <w:t xml:space="preserve"> (UBP) placed $700 million of wealthy client’s money in Madoff’s Ponzi scheme.  Top management received warnings from the bank’s research department that Madoff’s fund should be eliminated from a list of approved funds.  The bank’s senior executives were aware of the concerns and continued to leave hundreds of millions of investor funds with Madoff.  UBP told its clients it was the victim of “massive fraud” and that it had conducted due diligence in managing client funds.</w:t>
      </w:r>
    </w:p>
    <w:p w:rsidR="00CF63AB" w:rsidRPr="00CF63AB" w:rsidRDefault="00CF63AB" w:rsidP="00CF63AB">
      <w:pPr>
        <w:widowControl w:val="0"/>
        <w:overflowPunct w:val="0"/>
        <w:autoSpaceDE w:val="0"/>
        <w:autoSpaceDN w:val="0"/>
        <w:adjustRightInd w:val="0"/>
        <w:spacing w:after="0" w:line="480" w:lineRule="auto"/>
        <w:rPr>
          <w:rFonts w:ascii="Calibri" w:eastAsia="Times New Roman" w:hAnsi="Calibri" w:cs="Calibri"/>
          <w:kern w:val="28"/>
        </w:rPr>
      </w:pPr>
    </w:p>
    <w:p w:rsidR="00CF63AB" w:rsidRPr="00CF63AB" w:rsidRDefault="00CF63AB" w:rsidP="00CF63AB">
      <w:pPr>
        <w:widowControl w:val="0"/>
        <w:overflowPunct w:val="0"/>
        <w:autoSpaceDE w:val="0"/>
        <w:autoSpaceDN w:val="0"/>
        <w:adjustRightInd w:val="0"/>
        <w:spacing w:after="0" w:line="480" w:lineRule="auto"/>
        <w:rPr>
          <w:rFonts w:ascii="Calibri" w:eastAsia="Times New Roman" w:hAnsi="Calibri" w:cs="Calibri"/>
          <w:kern w:val="28"/>
        </w:rPr>
      </w:pPr>
    </w:p>
    <w:p w:rsidR="00CF63AB" w:rsidRPr="00CF63AB" w:rsidRDefault="00CF63AB" w:rsidP="00CF63AB">
      <w:pPr>
        <w:widowControl w:val="0"/>
        <w:overflowPunct w:val="0"/>
        <w:autoSpaceDE w:val="0"/>
        <w:autoSpaceDN w:val="0"/>
        <w:adjustRightInd w:val="0"/>
        <w:spacing w:after="0" w:line="480" w:lineRule="auto"/>
        <w:rPr>
          <w:rFonts w:ascii="Calibri" w:eastAsia="Times New Roman" w:hAnsi="Calibri" w:cs="Calibri"/>
          <w:b/>
          <w:bCs/>
          <w:kern w:val="28"/>
        </w:rPr>
      </w:pPr>
      <w:r w:rsidRPr="00CF63AB">
        <w:rPr>
          <w:rFonts w:ascii="Calibri" w:eastAsia="Times New Roman" w:hAnsi="Calibri" w:cs="Calibri"/>
          <w:b/>
          <w:bCs/>
          <w:kern w:val="28"/>
        </w:rPr>
        <w:t xml:space="preserve">Financial Support </w:t>
      </w:r>
      <w:proofErr w:type="gramStart"/>
      <w:r w:rsidRPr="00CF63AB">
        <w:rPr>
          <w:rFonts w:ascii="Calibri" w:eastAsia="Times New Roman" w:hAnsi="Calibri" w:cs="Calibri"/>
          <w:b/>
          <w:bCs/>
          <w:kern w:val="28"/>
        </w:rPr>
        <w:t>Near</w:t>
      </w:r>
      <w:proofErr w:type="gramEnd"/>
      <w:r w:rsidRPr="00CF63AB">
        <w:rPr>
          <w:rFonts w:ascii="Calibri" w:eastAsia="Times New Roman" w:hAnsi="Calibri" w:cs="Calibri"/>
          <w:b/>
          <w:bCs/>
          <w:kern w:val="28"/>
        </w:rPr>
        <w:t xml:space="preserve"> the End and the Arrest</w:t>
      </w:r>
    </w:p>
    <w:p w:rsidR="00CF63AB" w:rsidRPr="00CF63AB" w:rsidRDefault="00CF63AB" w:rsidP="00CF63AB">
      <w:pPr>
        <w:widowControl w:val="0"/>
        <w:overflowPunct w:val="0"/>
        <w:autoSpaceDE w:val="0"/>
        <w:autoSpaceDN w:val="0"/>
        <w:adjustRightInd w:val="0"/>
        <w:spacing w:after="0" w:line="480" w:lineRule="auto"/>
        <w:rPr>
          <w:rFonts w:ascii="Calibri" w:eastAsia="Times New Roman" w:hAnsi="Calibri" w:cs="Calibri"/>
          <w:kern w:val="28"/>
        </w:rPr>
      </w:pPr>
      <w:r w:rsidRPr="00CF63AB">
        <w:rPr>
          <w:rFonts w:ascii="Calibri" w:eastAsia="Times New Roman" w:hAnsi="Calibri" w:cs="Calibri"/>
          <w:kern w:val="28"/>
        </w:rPr>
        <w:lastRenderedPageBreak/>
        <w:tab/>
        <w:t xml:space="preserve">The week and a half before Madoff admitted to his sons that he was operating a Ponzi scheme, 95 year old Palm Beach </w:t>
      </w:r>
      <w:proofErr w:type="spellStart"/>
      <w:r w:rsidRPr="00CF63AB">
        <w:rPr>
          <w:rFonts w:ascii="Calibri" w:eastAsia="Times New Roman" w:hAnsi="Calibri" w:cs="Calibri"/>
          <w:kern w:val="28"/>
        </w:rPr>
        <w:t>philanthroper</w:t>
      </w:r>
      <w:proofErr w:type="spellEnd"/>
      <w:r w:rsidRPr="00CF63AB">
        <w:rPr>
          <w:rFonts w:ascii="Calibri" w:eastAsia="Times New Roman" w:hAnsi="Calibri" w:cs="Calibri"/>
          <w:kern w:val="28"/>
        </w:rPr>
        <w:t xml:space="preserve"> and entrepreneur, Carl Shapiro gave Madoff $250 million. Shapiro lost the $250 million that he provided to Madoff as well as the loss of $100 million in a charitable organization he had invested with the firm.  Madoff had made requests of many others for funds to save his business and Martin </w:t>
      </w:r>
      <w:proofErr w:type="spellStart"/>
      <w:r w:rsidRPr="00CF63AB">
        <w:rPr>
          <w:rFonts w:ascii="Calibri" w:eastAsia="Times New Roman" w:hAnsi="Calibri" w:cs="Calibri"/>
          <w:kern w:val="28"/>
        </w:rPr>
        <w:t>Rosenman</w:t>
      </w:r>
      <w:proofErr w:type="spellEnd"/>
      <w:r w:rsidRPr="00CF63AB">
        <w:rPr>
          <w:rFonts w:ascii="Calibri" w:eastAsia="Times New Roman" w:hAnsi="Calibri" w:cs="Calibri"/>
          <w:kern w:val="28"/>
        </w:rPr>
        <w:t xml:space="preserve"> provided $10 million.  </w:t>
      </w:r>
      <w:proofErr w:type="spellStart"/>
      <w:r w:rsidRPr="00CF63AB">
        <w:rPr>
          <w:rFonts w:ascii="Calibri" w:eastAsia="Times New Roman" w:hAnsi="Calibri" w:cs="Calibri"/>
          <w:kern w:val="28"/>
        </w:rPr>
        <w:t>Rosenman</w:t>
      </w:r>
      <w:proofErr w:type="spellEnd"/>
      <w:r w:rsidRPr="00CF63AB">
        <w:rPr>
          <w:rFonts w:ascii="Calibri" w:eastAsia="Times New Roman" w:hAnsi="Calibri" w:cs="Calibri"/>
          <w:kern w:val="28"/>
        </w:rPr>
        <w:t xml:space="preserve"> is the President of a fuel company in New York.    </w:t>
      </w:r>
      <w:proofErr w:type="spellStart"/>
      <w:r w:rsidRPr="00CF63AB">
        <w:rPr>
          <w:rFonts w:ascii="Calibri" w:eastAsia="Times New Roman" w:hAnsi="Calibri" w:cs="Calibri"/>
          <w:kern w:val="28"/>
        </w:rPr>
        <w:t>Rosenman</w:t>
      </w:r>
      <w:proofErr w:type="spellEnd"/>
      <w:r w:rsidRPr="00CF63AB">
        <w:rPr>
          <w:rFonts w:ascii="Calibri" w:eastAsia="Times New Roman" w:hAnsi="Calibri" w:cs="Calibri"/>
          <w:kern w:val="28"/>
        </w:rPr>
        <w:t xml:space="preserve"> is suing Madoff for the money alleging that Madoff proposed the solicitation was for a new fund and was sent a 19 page promotional piece in advance of the investment. </w:t>
      </w:r>
    </w:p>
    <w:p w:rsidR="00CF63AB" w:rsidRPr="00CF63AB" w:rsidRDefault="00CF63AB" w:rsidP="00CF63AB">
      <w:pPr>
        <w:widowControl w:val="0"/>
        <w:overflowPunct w:val="0"/>
        <w:autoSpaceDE w:val="0"/>
        <w:autoSpaceDN w:val="0"/>
        <w:adjustRightInd w:val="0"/>
        <w:spacing w:after="0" w:line="480" w:lineRule="auto"/>
        <w:rPr>
          <w:rFonts w:ascii="Calibri" w:eastAsia="Times New Roman" w:hAnsi="Calibri" w:cs="Calibri"/>
          <w:kern w:val="28"/>
        </w:rPr>
      </w:pPr>
      <w:r w:rsidRPr="00CF63AB">
        <w:rPr>
          <w:rFonts w:ascii="Calibri" w:eastAsia="Times New Roman" w:hAnsi="Calibri" w:cs="Calibri"/>
          <w:kern w:val="28"/>
        </w:rPr>
        <w:t xml:space="preserve"> Madoff was arrested on December 11, accused of operating  a $50 billion Ponzi scheme after confessing his failure to his sons Andrew and Mark, who worked with their father in the firm.  The official charge is criminal securities fraud.  Madoff declared to his sons that he had roughly $200-300 million left in the business and that he wanted to provide the money to employees before turning himself over to authorities.  The sons thought the investment arm of the business held between $8 billion and $15 billion in assets.  SEC records showed that the firm had $17 billion in assets at the beginning of 2008. </w:t>
      </w:r>
    </w:p>
    <w:p w:rsidR="00CF63AB" w:rsidRPr="00CF63AB" w:rsidRDefault="00CF63AB" w:rsidP="00CF63AB">
      <w:pPr>
        <w:widowControl w:val="0"/>
        <w:overflowPunct w:val="0"/>
        <w:autoSpaceDE w:val="0"/>
        <w:autoSpaceDN w:val="0"/>
        <w:adjustRightInd w:val="0"/>
        <w:spacing w:after="0" w:line="480" w:lineRule="auto"/>
        <w:rPr>
          <w:rFonts w:ascii="Calibri" w:eastAsia="Times New Roman" w:hAnsi="Calibri" w:cs="Calibri"/>
          <w:kern w:val="28"/>
        </w:rPr>
      </w:pPr>
    </w:p>
    <w:p w:rsidR="00CF63AB" w:rsidRPr="00CF63AB" w:rsidRDefault="00CF63AB" w:rsidP="00CF63AB">
      <w:pPr>
        <w:widowControl w:val="0"/>
        <w:overflowPunct w:val="0"/>
        <w:autoSpaceDE w:val="0"/>
        <w:autoSpaceDN w:val="0"/>
        <w:adjustRightInd w:val="0"/>
        <w:spacing w:after="0" w:line="480" w:lineRule="auto"/>
        <w:rPr>
          <w:rFonts w:ascii="Calibri" w:eastAsia="Times New Roman" w:hAnsi="Calibri" w:cs="Calibri"/>
          <w:b/>
          <w:bCs/>
          <w:kern w:val="28"/>
        </w:rPr>
      </w:pPr>
      <w:r w:rsidRPr="00CF63AB">
        <w:rPr>
          <w:rFonts w:ascii="Calibri" w:eastAsia="Times New Roman" w:hAnsi="Calibri" w:cs="Calibri"/>
          <w:b/>
          <w:bCs/>
          <w:kern w:val="28"/>
        </w:rPr>
        <w:t>The Investigation and Charges</w:t>
      </w:r>
    </w:p>
    <w:p w:rsidR="00CF63AB" w:rsidRPr="00CF63AB" w:rsidRDefault="00CF63AB" w:rsidP="00CF63AB">
      <w:pPr>
        <w:widowControl w:val="0"/>
        <w:overflowPunct w:val="0"/>
        <w:autoSpaceDE w:val="0"/>
        <w:autoSpaceDN w:val="0"/>
        <w:adjustRightInd w:val="0"/>
        <w:spacing w:after="0" w:line="480" w:lineRule="auto"/>
        <w:rPr>
          <w:rFonts w:ascii="Calibri" w:eastAsia="Times New Roman" w:hAnsi="Calibri" w:cs="Calibri"/>
          <w:kern w:val="28"/>
        </w:rPr>
      </w:pPr>
      <w:r w:rsidRPr="00CF63AB">
        <w:rPr>
          <w:rFonts w:ascii="Calibri" w:eastAsia="Times New Roman" w:hAnsi="Calibri" w:cs="Calibri"/>
          <w:kern w:val="28"/>
        </w:rPr>
        <w:tab/>
        <w:t xml:space="preserve">Investigators in this case include the Securities and Exchange Commission (SEC), FBI, federal prosecutors from the U.S. attorney’s office for the Southern District of New York, and the Financial Industry Regulatory Authority.  Forensic accountants will try to pull together the trail of investments and spending to determine where the money went.  There is a belief that multiple offshore funds have been created by Madoff to shelter assets prior to the collapse of the firm.  Madoff’s business was not registered with the SEC until 2006 after a SEC investigation.   </w:t>
      </w:r>
    </w:p>
    <w:p w:rsidR="00CF63AB" w:rsidRPr="00CF63AB" w:rsidRDefault="00CF63AB" w:rsidP="00CF63AB">
      <w:pPr>
        <w:widowControl w:val="0"/>
        <w:overflowPunct w:val="0"/>
        <w:autoSpaceDE w:val="0"/>
        <w:autoSpaceDN w:val="0"/>
        <w:adjustRightInd w:val="0"/>
        <w:spacing w:after="0" w:line="480" w:lineRule="auto"/>
        <w:rPr>
          <w:rFonts w:ascii="Calibri" w:eastAsia="Times New Roman" w:hAnsi="Calibri" w:cs="Calibri"/>
          <w:kern w:val="28"/>
        </w:rPr>
      </w:pPr>
      <w:r w:rsidRPr="00CF63AB">
        <w:rPr>
          <w:rFonts w:ascii="Calibri" w:eastAsia="Times New Roman" w:hAnsi="Calibri" w:cs="Calibri"/>
          <w:kern w:val="28"/>
        </w:rPr>
        <w:tab/>
        <w:t xml:space="preserve">Bernard Madoff is charged with fraud.  Investigators are evaluating documents dating back to January 1, 2000.  The charges were not new when exposed to the SEC.  Beginning in 1992 federal regulators investigated allegations of wrongdoing by Madoff.  Following is a summary table of the </w:t>
      </w:r>
      <w:r w:rsidRPr="00CF63AB">
        <w:rPr>
          <w:rFonts w:ascii="Calibri" w:eastAsia="Times New Roman" w:hAnsi="Calibri" w:cs="Calibri"/>
          <w:kern w:val="28"/>
        </w:rPr>
        <w:lastRenderedPageBreak/>
        <w:t>nature of these investigations.</w:t>
      </w:r>
    </w:p>
    <w:p w:rsidR="00CF63AB" w:rsidRPr="00CF63AB" w:rsidRDefault="00CF63AB" w:rsidP="00CF63AB">
      <w:pPr>
        <w:widowControl w:val="0"/>
        <w:overflowPunct w:val="0"/>
        <w:autoSpaceDE w:val="0"/>
        <w:autoSpaceDN w:val="0"/>
        <w:adjustRightInd w:val="0"/>
        <w:spacing w:after="0" w:line="240" w:lineRule="auto"/>
        <w:jc w:val="center"/>
        <w:rPr>
          <w:rFonts w:ascii="Calibri" w:eastAsia="Times New Roman" w:hAnsi="Calibri" w:cs="Calibri"/>
          <w:b/>
          <w:bCs/>
          <w:kern w:val="28"/>
        </w:rPr>
      </w:pPr>
      <w:r w:rsidRPr="00CF63AB">
        <w:rPr>
          <w:rFonts w:ascii="Calibri" w:eastAsia="Times New Roman" w:hAnsi="Calibri" w:cs="Calibri"/>
          <w:b/>
          <w:bCs/>
          <w:kern w:val="28"/>
        </w:rPr>
        <w:t>Table 2</w:t>
      </w:r>
    </w:p>
    <w:p w:rsidR="00CF63AB" w:rsidRPr="00CF63AB" w:rsidRDefault="00CF63AB" w:rsidP="00CF63AB">
      <w:pPr>
        <w:widowControl w:val="0"/>
        <w:overflowPunct w:val="0"/>
        <w:autoSpaceDE w:val="0"/>
        <w:autoSpaceDN w:val="0"/>
        <w:adjustRightInd w:val="0"/>
        <w:spacing w:after="0" w:line="240" w:lineRule="auto"/>
        <w:jc w:val="center"/>
        <w:rPr>
          <w:rFonts w:ascii="Calibri" w:eastAsia="Times New Roman" w:hAnsi="Calibri" w:cs="Calibri"/>
          <w:b/>
          <w:bCs/>
          <w:kern w:val="28"/>
        </w:rPr>
      </w:pPr>
      <w:r w:rsidRPr="00CF63AB">
        <w:rPr>
          <w:rFonts w:ascii="Calibri" w:eastAsia="Times New Roman" w:hAnsi="Calibri" w:cs="Calibri"/>
          <w:b/>
          <w:bCs/>
          <w:kern w:val="28"/>
        </w:rPr>
        <w:t>Government &amp; Regulatory Investigations of Bernard Madoff</w:t>
      </w:r>
    </w:p>
    <w:p w:rsidR="00CF63AB" w:rsidRPr="00CF63AB" w:rsidRDefault="00CF63AB" w:rsidP="00CF63AB">
      <w:pPr>
        <w:widowControl w:val="0"/>
        <w:overflowPunct w:val="0"/>
        <w:autoSpaceDE w:val="0"/>
        <w:autoSpaceDN w:val="0"/>
        <w:adjustRightInd w:val="0"/>
        <w:spacing w:after="0" w:line="240" w:lineRule="auto"/>
        <w:jc w:val="center"/>
        <w:rPr>
          <w:rFonts w:ascii="Calibri" w:eastAsia="Times New Roman" w:hAnsi="Calibri" w:cs="Calibri"/>
          <w:b/>
          <w:bCs/>
          <w:kern w:val="28"/>
        </w:rPr>
      </w:pPr>
    </w:p>
    <w:p w:rsidR="00CF63AB" w:rsidRPr="00CF63AB" w:rsidRDefault="00CF63AB" w:rsidP="00CF63AB">
      <w:pPr>
        <w:widowControl w:val="0"/>
        <w:overflowPunct w:val="0"/>
        <w:autoSpaceDE w:val="0"/>
        <w:autoSpaceDN w:val="0"/>
        <w:adjustRightInd w:val="0"/>
        <w:spacing w:after="0" w:line="240" w:lineRule="auto"/>
        <w:rPr>
          <w:rFonts w:ascii="Calibri" w:eastAsia="Times New Roman" w:hAnsi="Calibri" w:cs="Calibri"/>
          <w:b/>
          <w:bCs/>
          <w:kern w:val="28"/>
        </w:rPr>
      </w:pPr>
      <w:r w:rsidRPr="00CF63AB">
        <w:rPr>
          <w:rFonts w:ascii="Calibri" w:eastAsia="Times New Roman" w:hAnsi="Calibri" w:cs="Calibri"/>
          <w:b/>
          <w:bCs/>
          <w:kern w:val="28"/>
        </w:rPr>
        <w:t>Year</w:t>
      </w:r>
      <w:r w:rsidRPr="00CF63AB">
        <w:rPr>
          <w:rFonts w:ascii="Calibri" w:eastAsia="Times New Roman" w:hAnsi="Calibri" w:cs="Calibri"/>
          <w:b/>
          <w:bCs/>
          <w:kern w:val="28"/>
        </w:rPr>
        <w:tab/>
        <w:t>Nature of the Investigation</w:t>
      </w:r>
    </w:p>
    <w:p w:rsidR="00CF63AB" w:rsidRPr="00CF63AB" w:rsidRDefault="00CF63AB" w:rsidP="00CF63AB">
      <w:pPr>
        <w:widowControl w:val="0"/>
        <w:overflowPunct w:val="0"/>
        <w:autoSpaceDE w:val="0"/>
        <w:autoSpaceDN w:val="0"/>
        <w:adjustRightInd w:val="0"/>
        <w:spacing w:after="0" w:line="240" w:lineRule="auto"/>
        <w:rPr>
          <w:rFonts w:ascii="Calibri" w:eastAsia="Times New Roman" w:hAnsi="Calibri" w:cs="Calibri"/>
          <w:kern w:val="28"/>
        </w:rPr>
      </w:pPr>
      <w:r w:rsidRPr="00CF63AB">
        <w:rPr>
          <w:rFonts w:ascii="Calibri" w:eastAsia="Times New Roman" w:hAnsi="Calibri" w:cs="Calibri"/>
          <w:kern w:val="28"/>
        </w:rPr>
        <w:t>1992</w:t>
      </w:r>
      <w:r w:rsidRPr="00CF63AB">
        <w:rPr>
          <w:rFonts w:ascii="Calibri" w:eastAsia="Times New Roman" w:hAnsi="Calibri" w:cs="Calibri"/>
          <w:kern w:val="28"/>
        </w:rPr>
        <w:tab/>
        <w:t>SEC-Madoff’s name came up in Florida accounting investigation.</w:t>
      </w:r>
    </w:p>
    <w:p w:rsidR="00CF63AB" w:rsidRPr="00CF63AB" w:rsidRDefault="00CF63AB" w:rsidP="00CF63AB">
      <w:pPr>
        <w:widowControl w:val="0"/>
        <w:overflowPunct w:val="0"/>
        <w:autoSpaceDE w:val="0"/>
        <w:autoSpaceDN w:val="0"/>
        <w:adjustRightInd w:val="0"/>
        <w:spacing w:after="0" w:line="240" w:lineRule="auto"/>
        <w:rPr>
          <w:rFonts w:ascii="Calibri" w:eastAsia="Times New Roman" w:hAnsi="Calibri" w:cs="Calibri"/>
          <w:kern w:val="28"/>
        </w:rPr>
      </w:pPr>
      <w:r w:rsidRPr="00CF63AB">
        <w:rPr>
          <w:rFonts w:ascii="Calibri" w:eastAsia="Times New Roman" w:hAnsi="Calibri" w:cs="Calibri"/>
          <w:kern w:val="28"/>
        </w:rPr>
        <w:t>1999</w:t>
      </w:r>
      <w:r w:rsidRPr="00CF63AB">
        <w:rPr>
          <w:rFonts w:ascii="Calibri" w:eastAsia="Times New Roman" w:hAnsi="Calibri" w:cs="Calibri"/>
          <w:kern w:val="28"/>
        </w:rPr>
        <w:tab/>
        <w:t>SEC-reviews Madoff’s trading practices</w:t>
      </w:r>
    </w:p>
    <w:p w:rsidR="00CF63AB" w:rsidRPr="00CF63AB" w:rsidRDefault="00CF63AB" w:rsidP="00CF63AB">
      <w:pPr>
        <w:widowControl w:val="0"/>
        <w:overflowPunct w:val="0"/>
        <w:autoSpaceDE w:val="0"/>
        <w:autoSpaceDN w:val="0"/>
        <w:adjustRightInd w:val="0"/>
        <w:spacing w:after="0" w:line="240" w:lineRule="auto"/>
        <w:rPr>
          <w:rFonts w:ascii="Calibri" w:eastAsia="Times New Roman" w:hAnsi="Calibri" w:cs="Calibri"/>
          <w:kern w:val="28"/>
        </w:rPr>
      </w:pPr>
      <w:r w:rsidRPr="00CF63AB">
        <w:rPr>
          <w:rFonts w:ascii="Calibri" w:eastAsia="Times New Roman" w:hAnsi="Calibri" w:cs="Calibri"/>
          <w:kern w:val="28"/>
        </w:rPr>
        <w:t>2001</w:t>
      </w:r>
      <w:r w:rsidRPr="00CF63AB">
        <w:rPr>
          <w:rFonts w:ascii="Calibri" w:eastAsia="Times New Roman" w:hAnsi="Calibri" w:cs="Calibri"/>
          <w:kern w:val="28"/>
        </w:rPr>
        <w:tab/>
        <w:t xml:space="preserve">SEC-Harry </w:t>
      </w:r>
      <w:proofErr w:type="spellStart"/>
      <w:r w:rsidRPr="00CF63AB">
        <w:rPr>
          <w:rFonts w:ascii="Calibri" w:eastAsia="Times New Roman" w:hAnsi="Calibri" w:cs="Calibri"/>
          <w:kern w:val="28"/>
        </w:rPr>
        <w:t>Markpolos</w:t>
      </w:r>
      <w:proofErr w:type="spellEnd"/>
      <w:r w:rsidRPr="00CF63AB">
        <w:rPr>
          <w:rFonts w:ascii="Calibri" w:eastAsia="Times New Roman" w:hAnsi="Calibri" w:cs="Calibri"/>
          <w:kern w:val="28"/>
        </w:rPr>
        <w:t>, securities industry executive, raises question regarding Madoff’s returns</w:t>
      </w:r>
    </w:p>
    <w:p w:rsidR="00CF63AB" w:rsidRPr="00CF63AB" w:rsidRDefault="00CF63AB" w:rsidP="00CF63AB">
      <w:pPr>
        <w:widowControl w:val="0"/>
        <w:overflowPunct w:val="0"/>
        <w:autoSpaceDE w:val="0"/>
        <w:autoSpaceDN w:val="0"/>
        <w:adjustRightInd w:val="0"/>
        <w:spacing w:after="0" w:line="240" w:lineRule="auto"/>
        <w:rPr>
          <w:rFonts w:ascii="Calibri" w:eastAsia="Times New Roman" w:hAnsi="Calibri" w:cs="Calibri"/>
          <w:kern w:val="28"/>
        </w:rPr>
      </w:pPr>
      <w:r w:rsidRPr="00CF63AB">
        <w:rPr>
          <w:rFonts w:ascii="Calibri" w:eastAsia="Times New Roman" w:hAnsi="Calibri" w:cs="Calibri"/>
          <w:kern w:val="28"/>
        </w:rPr>
        <w:t>2004</w:t>
      </w:r>
      <w:r w:rsidRPr="00CF63AB">
        <w:rPr>
          <w:rFonts w:ascii="Calibri" w:eastAsia="Times New Roman" w:hAnsi="Calibri" w:cs="Calibri"/>
          <w:kern w:val="28"/>
        </w:rPr>
        <w:tab/>
        <w:t>SEC-Review into allegations of improper trading practices</w:t>
      </w:r>
    </w:p>
    <w:p w:rsidR="00CF63AB" w:rsidRPr="00CF63AB" w:rsidRDefault="00CF63AB" w:rsidP="00CF63AB">
      <w:pPr>
        <w:widowControl w:val="0"/>
        <w:overflowPunct w:val="0"/>
        <w:autoSpaceDE w:val="0"/>
        <w:autoSpaceDN w:val="0"/>
        <w:adjustRightInd w:val="0"/>
        <w:spacing w:after="0" w:line="240" w:lineRule="auto"/>
        <w:rPr>
          <w:rFonts w:ascii="Calibri" w:eastAsia="Times New Roman" w:hAnsi="Calibri" w:cs="Calibri"/>
          <w:kern w:val="28"/>
        </w:rPr>
      </w:pPr>
      <w:r w:rsidRPr="00CF63AB">
        <w:rPr>
          <w:rFonts w:ascii="Calibri" w:eastAsia="Times New Roman" w:hAnsi="Calibri" w:cs="Calibri"/>
          <w:kern w:val="28"/>
        </w:rPr>
        <w:t>2005</w:t>
      </w:r>
      <w:r w:rsidRPr="00CF63AB">
        <w:rPr>
          <w:rFonts w:ascii="Calibri" w:eastAsia="Times New Roman" w:hAnsi="Calibri" w:cs="Calibri"/>
          <w:kern w:val="28"/>
        </w:rPr>
        <w:tab/>
        <w:t>SEC-interviews Madoff and family finding no improper trading activities</w:t>
      </w:r>
    </w:p>
    <w:p w:rsidR="00CF63AB" w:rsidRPr="00CF63AB" w:rsidRDefault="00CF63AB" w:rsidP="00CF63AB">
      <w:pPr>
        <w:widowControl w:val="0"/>
        <w:overflowPunct w:val="0"/>
        <w:autoSpaceDE w:val="0"/>
        <w:autoSpaceDN w:val="0"/>
        <w:adjustRightInd w:val="0"/>
        <w:spacing w:after="0" w:line="240" w:lineRule="auto"/>
        <w:rPr>
          <w:rFonts w:ascii="Calibri" w:eastAsia="Times New Roman" w:hAnsi="Calibri" w:cs="Calibri"/>
          <w:kern w:val="28"/>
        </w:rPr>
      </w:pPr>
      <w:r w:rsidRPr="00CF63AB">
        <w:rPr>
          <w:rFonts w:ascii="Calibri" w:eastAsia="Times New Roman" w:hAnsi="Calibri" w:cs="Calibri"/>
          <w:kern w:val="28"/>
        </w:rPr>
        <w:t>2005</w:t>
      </w:r>
      <w:r w:rsidRPr="00CF63AB">
        <w:rPr>
          <w:rFonts w:ascii="Calibri" w:eastAsia="Times New Roman" w:hAnsi="Calibri" w:cs="Calibri"/>
          <w:kern w:val="28"/>
        </w:rPr>
        <w:tab/>
        <w:t>Industry-based regulatory group finds no improper trading activities</w:t>
      </w:r>
    </w:p>
    <w:p w:rsidR="00CF63AB" w:rsidRPr="00CF63AB" w:rsidRDefault="00CF63AB" w:rsidP="00CF63AB">
      <w:pPr>
        <w:widowControl w:val="0"/>
        <w:overflowPunct w:val="0"/>
        <w:autoSpaceDE w:val="0"/>
        <w:autoSpaceDN w:val="0"/>
        <w:adjustRightInd w:val="0"/>
        <w:spacing w:after="0" w:line="240" w:lineRule="auto"/>
        <w:rPr>
          <w:rFonts w:ascii="Calibri" w:eastAsia="Times New Roman" w:hAnsi="Calibri" w:cs="Calibri"/>
          <w:kern w:val="28"/>
        </w:rPr>
      </w:pPr>
      <w:r w:rsidRPr="00CF63AB">
        <w:rPr>
          <w:rFonts w:ascii="Calibri" w:eastAsia="Times New Roman" w:hAnsi="Calibri" w:cs="Calibri"/>
          <w:kern w:val="28"/>
        </w:rPr>
        <w:t>2005</w:t>
      </w:r>
      <w:r w:rsidRPr="00CF63AB">
        <w:rPr>
          <w:rFonts w:ascii="Calibri" w:eastAsia="Times New Roman" w:hAnsi="Calibri" w:cs="Calibri"/>
          <w:kern w:val="28"/>
        </w:rPr>
        <w:tab/>
        <w:t xml:space="preserve">SEC -meets with Harry </w:t>
      </w:r>
      <w:proofErr w:type="spellStart"/>
      <w:r w:rsidRPr="00CF63AB">
        <w:rPr>
          <w:rFonts w:ascii="Calibri" w:eastAsia="Times New Roman" w:hAnsi="Calibri" w:cs="Calibri"/>
          <w:kern w:val="28"/>
        </w:rPr>
        <w:t>Markopolos</w:t>
      </w:r>
      <w:proofErr w:type="spellEnd"/>
      <w:r w:rsidRPr="00CF63AB">
        <w:rPr>
          <w:rFonts w:ascii="Calibri" w:eastAsia="Times New Roman" w:hAnsi="Calibri" w:cs="Calibri"/>
          <w:kern w:val="28"/>
        </w:rPr>
        <w:t xml:space="preserve"> who claims Madoff operates world’s largest Ponzi scheme</w:t>
      </w:r>
    </w:p>
    <w:p w:rsidR="00CF63AB" w:rsidRPr="00CF63AB" w:rsidRDefault="00CF63AB" w:rsidP="00CF63AB">
      <w:pPr>
        <w:widowControl w:val="0"/>
        <w:overflowPunct w:val="0"/>
        <w:autoSpaceDE w:val="0"/>
        <w:autoSpaceDN w:val="0"/>
        <w:adjustRightInd w:val="0"/>
        <w:spacing w:after="0" w:line="240" w:lineRule="auto"/>
        <w:rPr>
          <w:rFonts w:ascii="Calibri" w:eastAsia="Times New Roman" w:hAnsi="Calibri" w:cs="Calibri"/>
          <w:kern w:val="28"/>
        </w:rPr>
      </w:pPr>
      <w:r w:rsidRPr="00CF63AB">
        <w:rPr>
          <w:rFonts w:ascii="Calibri" w:eastAsia="Times New Roman" w:hAnsi="Calibri" w:cs="Calibri"/>
          <w:kern w:val="28"/>
        </w:rPr>
        <w:t>2006</w:t>
      </w:r>
      <w:r w:rsidRPr="00CF63AB">
        <w:rPr>
          <w:rFonts w:ascii="Calibri" w:eastAsia="Times New Roman" w:hAnsi="Calibri" w:cs="Calibri"/>
          <w:kern w:val="28"/>
        </w:rPr>
        <w:tab/>
        <w:t xml:space="preserve">SEC –enforcement investigation finds misleading behavior &amp; Madoff registers as an </w:t>
      </w:r>
      <w:r w:rsidRPr="00CF63AB">
        <w:rPr>
          <w:rFonts w:ascii="Calibri" w:eastAsia="Times New Roman" w:hAnsi="Calibri" w:cs="Calibri"/>
          <w:kern w:val="28"/>
        </w:rPr>
        <w:tab/>
        <w:t>investment advisor</w:t>
      </w:r>
    </w:p>
    <w:p w:rsidR="00CF63AB" w:rsidRPr="00CF63AB" w:rsidRDefault="00CF63AB" w:rsidP="00CF63AB">
      <w:pPr>
        <w:widowControl w:val="0"/>
        <w:overflowPunct w:val="0"/>
        <w:autoSpaceDE w:val="0"/>
        <w:autoSpaceDN w:val="0"/>
        <w:adjustRightInd w:val="0"/>
        <w:spacing w:after="0" w:line="240" w:lineRule="auto"/>
        <w:rPr>
          <w:rFonts w:ascii="Calibri" w:eastAsia="Times New Roman" w:hAnsi="Calibri" w:cs="Calibri"/>
          <w:kern w:val="28"/>
        </w:rPr>
      </w:pPr>
      <w:r w:rsidRPr="00CF63AB">
        <w:rPr>
          <w:rFonts w:ascii="Calibri" w:eastAsia="Times New Roman" w:hAnsi="Calibri" w:cs="Calibri"/>
          <w:kern w:val="28"/>
        </w:rPr>
        <w:t>2007-</w:t>
      </w:r>
      <w:r w:rsidRPr="00CF63AB">
        <w:rPr>
          <w:rFonts w:ascii="Calibri" w:eastAsia="Times New Roman" w:hAnsi="Calibri" w:cs="Calibri"/>
          <w:kern w:val="28"/>
        </w:rPr>
        <w:tab/>
        <w:t>Financial Industry Regulatory Authority investigates and no regulatory action was taken</w:t>
      </w:r>
    </w:p>
    <w:p w:rsidR="00CF63AB" w:rsidRPr="00CF63AB" w:rsidRDefault="00CF63AB" w:rsidP="00CF63AB">
      <w:pPr>
        <w:widowControl w:val="0"/>
        <w:overflowPunct w:val="0"/>
        <w:autoSpaceDE w:val="0"/>
        <w:autoSpaceDN w:val="0"/>
        <w:adjustRightInd w:val="0"/>
        <w:spacing w:after="0" w:line="240" w:lineRule="auto"/>
        <w:rPr>
          <w:rFonts w:ascii="Calibri" w:eastAsia="Times New Roman" w:hAnsi="Calibri" w:cs="Calibri"/>
          <w:kern w:val="28"/>
        </w:rPr>
      </w:pPr>
    </w:p>
    <w:p w:rsidR="00CF63AB" w:rsidRPr="00CF63AB" w:rsidRDefault="00CF63AB" w:rsidP="00CF63AB">
      <w:pPr>
        <w:widowControl w:val="0"/>
        <w:overflowPunct w:val="0"/>
        <w:autoSpaceDE w:val="0"/>
        <w:autoSpaceDN w:val="0"/>
        <w:adjustRightInd w:val="0"/>
        <w:spacing w:after="0" w:line="240" w:lineRule="auto"/>
        <w:rPr>
          <w:rFonts w:ascii="Calibri" w:eastAsia="Times New Roman" w:hAnsi="Calibri" w:cs="Calibri"/>
          <w:kern w:val="28"/>
        </w:rPr>
      </w:pPr>
      <w:r w:rsidRPr="00CF63AB">
        <w:rPr>
          <w:rFonts w:ascii="Calibri" w:eastAsia="Times New Roman" w:hAnsi="Calibri" w:cs="Calibri"/>
          <w:kern w:val="28"/>
        </w:rPr>
        <w:t xml:space="preserve">Source: Associated Press (2009) “The Many Fruitless Probes into Bernie Madoff,” </w:t>
      </w:r>
      <w:proofErr w:type="spellStart"/>
      <w:r w:rsidRPr="00CF63AB">
        <w:rPr>
          <w:rFonts w:ascii="Calibri" w:eastAsia="Times New Roman" w:hAnsi="Calibri" w:cs="Calibri"/>
          <w:i/>
          <w:iCs/>
          <w:kern w:val="28"/>
        </w:rPr>
        <w:t>APNewswire</w:t>
      </w:r>
      <w:proofErr w:type="spellEnd"/>
      <w:r w:rsidRPr="00CF63AB">
        <w:rPr>
          <w:rFonts w:ascii="Calibri" w:eastAsia="Times New Roman" w:hAnsi="Calibri" w:cs="Calibri"/>
          <w:i/>
          <w:iCs/>
          <w:kern w:val="28"/>
        </w:rPr>
        <w:t xml:space="preserve">, </w:t>
      </w:r>
      <w:r w:rsidRPr="00CF63AB">
        <w:rPr>
          <w:rFonts w:ascii="Calibri" w:eastAsia="Times New Roman" w:hAnsi="Calibri" w:cs="Calibri"/>
          <w:kern w:val="28"/>
        </w:rPr>
        <w:t xml:space="preserve">January 5, </w:t>
      </w:r>
      <w:hyperlink r:id="rId5" w:history="1">
        <w:r w:rsidRPr="00CF63AB">
          <w:rPr>
            <w:rFonts w:ascii="Calibri" w:eastAsia="Times New Roman" w:hAnsi="Calibri" w:cs="Calibri"/>
            <w:i/>
            <w:iCs/>
            <w:color w:val="0000FF"/>
            <w:kern w:val="28"/>
            <w:u w:val="single"/>
          </w:rPr>
          <w:t>http://news.moneycentral.msn.com/provider/providerarticle.aspx?feed=AP&amp;date=20090105&amp;id=9486677</w:t>
        </w:r>
      </w:hyperlink>
      <w:r w:rsidRPr="00CF63AB">
        <w:rPr>
          <w:rFonts w:ascii="Calibri" w:eastAsia="Times New Roman" w:hAnsi="Calibri" w:cs="Calibri"/>
          <w:i/>
          <w:iCs/>
          <w:kern w:val="28"/>
        </w:rPr>
        <w:t xml:space="preserve">, </w:t>
      </w:r>
      <w:r w:rsidRPr="00CF63AB">
        <w:rPr>
          <w:rFonts w:ascii="Calibri" w:eastAsia="Times New Roman" w:hAnsi="Calibri" w:cs="Calibri"/>
          <w:kern w:val="28"/>
        </w:rPr>
        <w:t>accessed January 5, 2009.</w:t>
      </w:r>
    </w:p>
    <w:p w:rsidR="00CF63AB" w:rsidRPr="00CF63AB" w:rsidRDefault="00CF63AB" w:rsidP="00CF63AB">
      <w:pPr>
        <w:widowControl w:val="0"/>
        <w:overflowPunct w:val="0"/>
        <w:autoSpaceDE w:val="0"/>
        <w:autoSpaceDN w:val="0"/>
        <w:adjustRightInd w:val="0"/>
        <w:spacing w:after="0" w:line="240" w:lineRule="auto"/>
        <w:rPr>
          <w:rFonts w:ascii="Calibri" w:eastAsia="Times New Roman" w:hAnsi="Calibri" w:cs="Calibri"/>
          <w:kern w:val="28"/>
        </w:rPr>
      </w:pPr>
    </w:p>
    <w:p w:rsidR="00CF63AB" w:rsidRPr="00CF63AB" w:rsidRDefault="00CF63AB" w:rsidP="00CF63AB">
      <w:pPr>
        <w:widowControl w:val="0"/>
        <w:overflowPunct w:val="0"/>
        <w:autoSpaceDE w:val="0"/>
        <w:autoSpaceDN w:val="0"/>
        <w:adjustRightInd w:val="0"/>
        <w:spacing w:after="0" w:line="480" w:lineRule="auto"/>
        <w:rPr>
          <w:rFonts w:ascii="Calibri" w:eastAsia="Times New Roman" w:hAnsi="Calibri" w:cs="Calibri"/>
          <w:kern w:val="28"/>
        </w:rPr>
      </w:pPr>
    </w:p>
    <w:p w:rsidR="00CF63AB" w:rsidRPr="00CF63AB" w:rsidRDefault="00CF63AB" w:rsidP="00CF63AB">
      <w:pPr>
        <w:widowControl w:val="0"/>
        <w:overflowPunct w:val="0"/>
        <w:autoSpaceDE w:val="0"/>
        <w:autoSpaceDN w:val="0"/>
        <w:adjustRightInd w:val="0"/>
        <w:spacing w:after="0" w:line="480" w:lineRule="auto"/>
        <w:rPr>
          <w:rFonts w:ascii="Calibri" w:eastAsia="Times New Roman" w:hAnsi="Calibri" w:cs="Calibri"/>
          <w:b/>
          <w:bCs/>
          <w:kern w:val="28"/>
        </w:rPr>
      </w:pPr>
      <w:r w:rsidRPr="00CF63AB">
        <w:rPr>
          <w:rFonts w:ascii="Calibri" w:eastAsia="Times New Roman" w:hAnsi="Calibri" w:cs="Calibri"/>
          <w:b/>
          <w:bCs/>
          <w:kern w:val="28"/>
        </w:rPr>
        <w:t>Investors Impacted</w:t>
      </w:r>
    </w:p>
    <w:p w:rsidR="00CF63AB" w:rsidRPr="00CF63AB" w:rsidRDefault="00CF63AB" w:rsidP="00CF63AB">
      <w:pPr>
        <w:widowControl w:val="0"/>
        <w:overflowPunct w:val="0"/>
        <w:autoSpaceDE w:val="0"/>
        <w:autoSpaceDN w:val="0"/>
        <w:adjustRightInd w:val="0"/>
        <w:spacing w:after="0" w:line="480" w:lineRule="auto"/>
        <w:rPr>
          <w:rFonts w:ascii="Calibri" w:eastAsia="Times New Roman" w:hAnsi="Calibri" w:cs="Calibri"/>
          <w:kern w:val="28"/>
        </w:rPr>
      </w:pPr>
      <w:r w:rsidRPr="00CF63AB">
        <w:rPr>
          <w:rFonts w:ascii="Calibri" w:eastAsia="Times New Roman" w:hAnsi="Calibri" w:cs="Calibri"/>
          <w:b/>
          <w:bCs/>
          <w:kern w:val="28"/>
        </w:rPr>
        <w:tab/>
      </w:r>
      <w:r w:rsidRPr="00CF63AB">
        <w:rPr>
          <w:rFonts w:ascii="Calibri" w:eastAsia="Times New Roman" w:hAnsi="Calibri" w:cs="Calibri"/>
          <w:kern w:val="28"/>
        </w:rPr>
        <w:t xml:space="preserve">The list of Madoff clients is a who’s who of organizations, non-profits, successful entrepreneurs and businesspeople as well as entertainers.  The Fairfield Greenwich Group had around $7.5 billion or more than half of its assets invested in the firm.  Tremont Group </w:t>
      </w:r>
      <w:proofErr w:type="gramStart"/>
      <w:r w:rsidRPr="00CF63AB">
        <w:rPr>
          <w:rFonts w:ascii="Calibri" w:eastAsia="Times New Roman" w:hAnsi="Calibri" w:cs="Calibri"/>
          <w:kern w:val="28"/>
        </w:rPr>
        <w:t>Holdings,</w:t>
      </w:r>
      <w:proofErr w:type="gramEnd"/>
      <w:r w:rsidRPr="00CF63AB">
        <w:rPr>
          <w:rFonts w:ascii="Calibri" w:eastAsia="Times New Roman" w:hAnsi="Calibri" w:cs="Calibri"/>
          <w:kern w:val="28"/>
        </w:rPr>
        <w:t xml:space="preserve"> owned by Oppenheimer had $3.3 billion invested.  Ezra </w:t>
      </w:r>
      <w:proofErr w:type="spellStart"/>
      <w:r w:rsidRPr="00CF63AB">
        <w:rPr>
          <w:rFonts w:ascii="Calibri" w:eastAsia="Times New Roman" w:hAnsi="Calibri" w:cs="Calibri"/>
          <w:kern w:val="28"/>
        </w:rPr>
        <w:t>Merkin</w:t>
      </w:r>
      <w:proofErr w:type="spellEnd"/>
      <w:r w:rsidRPr="00CF63AB">
        <w:rPr>
          <w:rFonts w:ascii="Calibri" w:eastAsia="Times New Roman" w:hAnsi="Calibri" w:cs="Calibri"/>
          <w:kern w:val="28"/>
        </w:rPr>
        <w:t xml:space="preserve">, head of GMAC operated a hedge fund which lost $1.8 billion to Madoff.  For a list of selected victims of the fraud see Table 1. </w:t>
      </w:r>
    </w:p>
    <w:p w:rsidR="00CF63AB" w:rsidRPr="00CF63AB" w:rsidRDefault="00CF63AB" w:rsidP="00CF63AB">
      <w:pPr>
        <w:widowControl w:val="0"/>
        <w:overflowPunct w:val="0"/>
        <w:autoSpaceDE w:val="0"/>
        <w:autoSpaceDN w:val="0"/>
        <w:adjustRightInd w:val="0"/>
        <w:spacing w:after="0" w:line="480" w:lineRule="auto"/>
        <w:rPr>
          <w:rFonts w:ascii="Calibri" w:eastAsia="Times New Roman" w:hAnsi="Calibri" w:cs="Calibri"/>
          <w:kern w:val="28"/>
        </w:rPr>
      </w:pPr>
      <w:r w:rsidRPr="00CF63AB">
        <w:rPr>
          <w:rFonts w:ascii="Calibri" w:eastAsia="Times New Roman" w:hAnsi="Calibri" w:cs="Calibri"/>
          <w:kern w:val="28"/>
        </w:rPr>
        <w:tab/>
        <w:t xml:space="preserve">Several victims have shared their ‘stories’ and relationship with Bernie Madoff.  Richard </w:t>
      </w:r>
      <w:proofErr w:type="spellStart"/>
      <w:r w:rsidRPr="00CF63AB">
        <w:rPr>
          <w:rFonts w:ascii="Calibri" w:eastAsia="Times New Roman" w:hAnsi="Calibri" w:cs="Calibri"/>
          <w:kern w:val="28"/>
        </w:rPr>
        <w:t>Sonking</w:t>
      </w:r>
      <w:proofErr w:type="spellEnd"/>
      <w:r w:rsidRPr="00CF63AB">
        <w:rPr>
          <w:rFonts w:ascii="Calibri" w:eastAsia="Times New Roman" w:hAnsi="Calibri" w:cs="Calibri"/>
          <w:kern w:val="28"/>
        </w:rPr>
        <w:t xml:space="preserve"> met with Madoff in the mid ‘90s after his father, who had an account with Madoff, recommended the investment for the steady 8-14% returns.  </w:t>
      </w:r>
      <w:proofErr w:type="spellStart"/>
      <w:r w:rsidRPr="00CF63AB">
        <w:rPr>
          <w:rFonts w:ascii="Calibri" w:eastAsia="Times New Roman" w:hAnsi="Calibri" w:cs="Calibri"/>
          <w:kern w:val="28"/>
        </w:rPr>
        <w:t>Sonking</w:t>
      </w:r>
      <w:proofErr w:type="spellEnd"/>
      <w:r w:rsidRPr="00CF63AB">
        <w:rPr>
          <w:rFonts w:ascii="Calibri" w:eastAsia="Times New Roman" w:hAnsi="Calibri" w:cs="Calibri"/>
          <w:kern w:val="28"/>
        </w:rPr>
        <w:t xml:space="preserve"> pulled together the minimum $100,000 required for investment at that time and was reminded how selective Madoff was in developing relationships.  After selling his business, importing porcelain collectibles from France, he placed additional funds in Madoff’s hands.  He was pleased with the returns and pleased with the monthly, detailed seven to eight page </w:t>
      </w:r>
      <w:r w:rsidRPr="00CF63AB">
        <w:rPr>
          <w:rFonts w:ascii="Calibri" w:eastAsia="Times New Roman" w:hAnsi="Calibri" w:cs="Calibri"/>
          <w:kern w:val="28"/>
        </w:rPr>
        <w:lastRenderedPageBreak/>
        <w:t xml:space="preserve">statements provided (including detail on equity trades).  Upon retiring in 2005, </w:t>
      </w:r>
      <w:proofErr w:type="spellStart"/>
      <w:r w:rsidRPr="00CF63AB">
        <w:rPr>
          <w:rFonts w:ascii="Calibri" w:eastAsia="Times New Roman" w:hAnsi="Calibri" w:cs="Calibri"/>
          <w:kern w:val="28"/>
        </w:rPr>
        <w:t>Sonking</w:t>
      </w:r>
      <w:proofErr w:type="spellEnd"/>
      <w:r w:rsidRPr="00CF63AB">
        <w:rPr>
          <w:rFonts w:ascii="Calibri" w:eastAsia="Times New Roman" w:hAnsi="Calibri" w:cs="Calibri"/>
          <w:kern w:val="28"/>
        </w:rPr>
        <w:t xml:space="preserve"> requested quarterly distributions from his account and the amount could be increased with a faxed request.   Until the news stories in December, 2008 there was no warning of any fraudulent activities.</w:t>
      </w:r>
    </w:p>
    <w:p w:rsidR="00CF63AB" w:rsidRPr="00CF63AB" w:rsidRDefault="00CF63AB" w:rsidP="00CF63AB">
      <w:pPr>
        <w:widowControl w:val="0"/>
        <w:overflowPunct w:val="0"/>
        <w:autoSpaceDE w:val="0"/>
        <w:autoSpaceDN w:val="0"/>
        <w:adjustRightInd w:val="0"/>
        <w:spacing w:after="0" w:line="480" w:lineRule="auto"/>
        <w:rPr>
          <w:rFonts w:ascii="Calibri" w:eastAsia="Times New Roman" w:hAnsi="Calibri" w:cs="Calibri"/>
          <w:kern w:val="28"/>
        </w:rPr>
      </w:pPr>
      <w:r w:rsidRPr="00CF63AB">
        <w:rPr>
          <w:rFonts w:ascii="Calibri" w:eastAsia="Times New Roman" w:hAnsi="Calibri" w:cs="Calibri"/>
          <w:kern w:val="28"/>
        </w:rPr>
        <w:tab/>
        <w:t xml:space="preserve">Loretta Weinberg, a New Jersey state senator, and conservative investor embraced her late husband’s philosophy that you live on half of what you make and save the rest.  She was invested with Stanley </w:t>
      </w:r>
      <w:proofErr w:type="spellStart"/>
      <w:r w:rsidRPr="00CF63AB">
        <w:rPr>
          <w:rFonts w:ascii="Calibri" w:eastAsia="Times New Roman" w:hAnsi="Calibri" w:cs="Calibri"/>
          <w:kern w:val="28"/>
        </w:rPr>
        <w:t>Chais</w:t>
      </w:r>
      <w:proofErr w:type="spellEnd"/>
      <w:r w:rsidRPr="00CF63AB">
        <w:rPr>
          <w:rFonts w:ascii="Calibri" w:eastAsia="Times New Roman" w:hAnsi="Calibri" w:cs="Calibri"/>
          <w:kern w:val="28"/>
        </w:rPr>
        <w:t xml:space="preserve">, a Los Angeles money manager who provided quarterly investment reports and a 10-14% annual return.  Until the Madoff scandal hit the press, Weinberg had not heard of Madoff.  As a 73 year old state senator making $49,000/year she will have to cope with the loss of her $1.3 million in life savings. In addition, she is concerned for her family who were all invested with </w:t>
      </w:r>
      <w:proofErr w:type="spellStart"/>
      <w:r w:rsidRPr="00CF63AB">
        <w:rPr>
          <w:rFonts w:ascii="Calibri" w:eastAsia="Times New Roman" w:hAnsi="Calibri" w:cs="Calibri"/>
          <w:kern w:val="28"/>
        </w:rPr>
        <w:t>Chais</w:t>
      </w:r>
      <w:proofErr w:type="spellEnd"/>
      <w:r w:rsidRPr="00CF63AB">
        <w:rPr>
          <w:rFonts w:ascii="Calibri" w:eastAsia="Times New Roman" w:hAnsi="Calibri" w:cs="Calibri"/>
          <w:kern w:val="28"/>
        </w:rPr>
        <w:t xml:space="preserve"> and, unknowingly, Madoff. </w:t>
      </w:r>
    </w:p>
    <w:p w:rsidR="00CF63AB" w:rsidRPr="00CF63AB" w:rsidRDefault="00CF63AB" w:rsidP="00CF63AB">
      <w:pPr>
        <w:widowControl w:val="0"/>
        <w:overflowPunct w:val="0"/>
        <w:autoSpaceDE w:val="0"/>
        <w:autoSpaceDN w:val="0"/>
        <w:adjustRightInd w:val="0"/>
        <w:spacing w:after="0" w:line="480" w:lineRule="auto"/>
        <w:rPr>
          <w:rFonts w:ascii="Calibri" w:eastAsia="Times New Roman" w:hAnsi="Calibri" w:cs="Calibri"/>
          <w:kern w:val="28"/>
        </w:rPr>
      </w:pPr>
      <w:r w:rsidRPr="00CF63AB">
        <w:rPr>
          <w:rFonts w:ascii="Calibri" w:eastAsia="Times New Roman" w:hAnsi="Calibri" w:cs="Calibri"/>
          <w:kern w:val="28"/>
        </w:rPr>
        <w:tab/>
        <w:t xml:space="preserve">Joseph </w:t>
      </w:r>
      <w:proofErr w:type="spellStart"/>
      <w:r w:rsidRPr="00CF63AB">
        <w:rPr>
          <w:rFonts w:ascii="Calibri" w:eastAsia="Times New Roman" w:hAnsi="Calibri" w:cs="Calibri"/>
          <w:kern w:val="28"/>
        </w:rPr>
        <w:t>Gurwin</w:t>
      </w:r>
      <w:proofErr w:type="spellEnd"/>
      <w:r w:rsidRPr="00CF63AB">
        <w:rPr>
          <w:rFonts w:ascii="Calibri" w:eastAsia="Times New Roman" w:hAnsi="Calibri" w:cs="Calibri"/>
          <w:kern w:val="28"/>
        </w:rPr>
        <w:t xml:space="preserve"> is 88 years old and lives in Palm Beach.  He came to know Madoff and become his friend through the Palm Beach social and philanthropic community.  </w:t>
      </w:r>
      <w:proofErr w:type="spellStart"/>
      <w:r w:rsidRPr="00CF63AB">
        <w:rPr>
          <w:rFonts w:ascii="Calibri" w:eastAsia="Times New Roman" w:hAnsi="Calibri" w:cs="Calibri"/>
          <w:kern w:val="28"/>
        </w:rPr>
        <w:t>Gurwin</w:t>
      </w:r>
      <w:proofErr w:type="spellEnd"/>
      <w:r w:rsidRPr="00CF63AB">
        <w:rPr>
          <w:rFonts w:ascii="Calibri" w:eastAsia="Times New Roman" w:hAnsi="Calibri" w:cs="Calibri"/>
          <w:kern w:val="28"/>
        </w:rPr>
        <w:t xml:space="preserve"> noted Madoff’s reputation for secure and conservative financial management.  </w:t>
      </w:r>
      <w:proofErr w:type="spellStart"/>
      <w:r w:rsidRPr="00CF63AB">
        <w:rPr>
          <w:rFonts w:ascii="Calibri" w:eastAsia="Times New Roman" w:hAnsi="Calibri" w:cs="Calibri"/>
          <w:kern w:val="28"/>
        </w:rPr>
        <w:t>Gurwin’s</w:t>
      </w:r>
      <w:proofErr w:type="spellEnd"/>
      <w:r w:rsidRPr="00CF63AB">
        <w:rPr>
          <w:rFonts w:ascii="Calibri" w:eastAsia="Times New Roman" w:hAnsi="Calibri" w:cs="Calibri"/>
          <w:kern w:val="28"/>
        </w:rPr>
        <w:t xml:space="preserve"> Foundation (The J. </w:t>
      </w:r>
      <w:proofErr w:type="spellStart"/>
      <w:r w:rsidRPr="00CF63AB">
        <w:rPr>
          <w:rFonts w:ascii="Calibri" w:eastAsia="Times New Roman" w:hAnsi="Calibri" w:cs="Calibri"/>
          <w:kern w:val="28"/>
        </w:rPr>
        <w:t>Gurwin</w:t>
      </w:r>
      <w:proofErr w:type="spellEnd"/>
      <w:r w:rsidRPr="00CF63AB">
        <w:rPr>
          <w:rFonts w:ascii="Calibri" w:eastAsia="Times New Roman" w:hAnsi="Calibri" w:cs="Calibri"/>
          <w:kern w:val="28"/>
        </w:rPr>
        <w:t xml:space="preserve"> Foundation, Inc.) operating with around $28 million in assets donated $1.2 million in one year.    The Foundation was invested heavily with Madoff.   He indicated no warning signs and when he requested withdrawals, the money came quickly.  </w:t>
      </w:r>
      <w:proofErr w:type="spellStart"/>
      <w:r w:rsidRPr="00CF63AB">
        <w:rPr>
          <w:rFonts w:ascii="Calibri" w:eastAsia="Times New Roman" w:hAnsi="Calibri" w:cs="Calibri"/>
          <w:kern w:val="28"/>
        </w:rPr>
        <w:t>Gurwin’s</w:t>
      </w:r>
      <w:proofErr w:type="spellEnd"/>
      <w:r w:rsidRPr="00CF63AB">
        <w:rPr>
          <w:rFonts w:ascii="Calibri" w:eastAsia="Times New Roman" w:hAnsi="Calibri" w:cs="Calibri"/>
          <w:kern w:val="28"/>
        </w:rPr>
        <w:t xml:space="preserve"> Foundation supports health care, as well as services and programs for frail, elderly or disabled younger adults.  </w:t>
      </w:r>
    </w:p>
    <w:p w:rsidR="00CF63AB" w:rsidRPr="00CF63AB" w:rsidRDefault="00CF63AB" w:rsidP="00CF63AB">
      <w:pPr>
        <w:widowControl w:val="0"/>
        <w:overflowPunct w:val="0"/>
        <w:autoSpaceDE w:val="0"/>
        <w:autoSpaceDN w:val="0"/>
        <w:adjustRightInd w:val="0"/>
        <w:spacing w:after="0" w:line="480" w:lineRule="auto"/>
        <w:rPr>
          <w:rFonts w:ascii="Calibri" w:eastAsia="Times New Roman" w:hAnsi="Calibri" w:cs="Calibri"/>
          <w:kern w:val="28"/>
        </w:rPr>
      </w:pPr>
      <w:r w:rsidRPr="00CF63AB">
        <w:rPr>
          <w:rFonts w:ascii="Calibri" w:eastAsia="Times New Roman" w:hAnsi="Calibri" w:cs="Calibri"/>
          <w:kern w:val="28"/>
        </w:rPr>
        <w:tab/>
        <w:t xml:space="preserve">Law firms in Florida are representing clients who believed they were investing with Westport National Bank (a regulated banking institution in Connecticut) not Madoff investments.  On December 12 the investors received a letter from Westport National indicating that they had a custodial agreement with Westport, giving full discretionary authority to Bernard L. Madoff Investment Securities.  </w:t>
      </w:r>
    </w:p>
    <w:p w:rsidR="00CF63AB" w:rsidRPr="00CF63AB" w:rsidRDefault="00CF63AB" w:rsidP="00CF63AB">
      <w:pPr>
        <w:widowControl w:val="0"/>
        <w:overflowPunct w:val="0"/>
        <w:autoSpaceDE w:val="0"/>
        <w:autoSpaceDN w:val="0"/>
        <w:adjustRightInd w:val="0"/>
        <w:spacing w:after="0" w:line="480" w:lineRule="auto"/>
        <w:rPr>
          <w:rFonts w:ascii="Calibri" w:eastAsia="Times New Roman" w:hAnsi="Calibri" w:cs="Calibri"/>
          <w:kern w:val="28"/>
        </w:rPr>
      </w:pPr>
    </w:p>
    <w:p w:rsidR="00CF63AB" w:rsidRPr="00CF63AB" w:rsidRDefault="00CF63AB" w:rsidP="00CF63AB">
      <w:pPr>
        <w:widowControl w:val="0"/>
        <w:overflowPunct w:val="0"/>
        <w:autoSpaceDE w:val="0"/>
        <w:autoSpaceDN w:val="0"/>
        <w:adjustRightInd w:val="0"/>
        <w:spacing w:after="0" w:line="480" w:lineRule="auto"/>
        <w:rPr>
          <w:rFonts w:ascii="Calibri" w:eastAsia="Times New Roman" w:hAnsi="Calibri" w:cs="Calibri"/>
          <w:kern w:val="28"/>
        </w:rPr>
      </w:pPr>
    </w:p>
    <w:p w:rsidR="00CF63AB" w:rsidRPr="00CF63AB" w:rsidRDefault="00CF63AB" w:rsidP="00CF63AB">
      <w:pPr>
        <w:widowControl w:val="0"/>
        <w:overflowPunct w:val="0"/>
        <w:autoSpaceDE w:val="0"/>
        <w:autoSpaceDN w:val="0"/>
        <w:adjustRightInd w:val="0"/>
        <w:spacing w:after="0" w:line="480" w:lineRule="auto"/>
        <w:rPr>
          <w:rFonts w:ascii="Calibri" w:eastAsia="Times New Roman" w:hAnsi="Calibri" w:cs="Calibri"/>
          <w:b/>
          <w:bCs/>
          <w:kern w:val="28"/>
        </w:rPr>
      </w:pPr>
      <w:r w:rsidRPr="00CF63AB">
        <w:rPr>
          <w:rFonts w:ascii="Calibri" w:eastAsia="Times New Roman" w:hAnsi="Calibri" w:cs="Calibri"/>
          <w:b/>
          <w:bCs/>
          <w:kern w:val="28"/>
        </w:rPr>
        <w:t>Restitution for Investors</w:t>
      </w:r>
    </w:p>
    <w:p w:rsidR="00CF63AB" w:rsidRPr="00CF63AB" w:rsidRDefault="00CF63AB" w:rsidP="00CF63AB">
      <w:pPr>
        <w:widowControl w:val="0"/>
        <w:overflowPunct w:val="0"/>
        <w:autoSpaceDE w:val="0"/>
        <w:autoSpaceDN w:val="0"/>
        <w:adjustRightInd w:val="0"/>
        <w:spacing w:after="0" w:line="480" w:lineRule="auto"/>
        <w:rPr>
          <w:rFonts w:ascii="Calibri" w:eastAsia="Times New Roman" w:hAnsi="Calibri" w:cs="Calibri"/>
          <w:kern w:val="28"/>
        </w:rPr>
      </w:pPr>
      <w:r w:rsidRPr="00CF63AB">
        <w:rPr>
          <w:rFonts w:ascii="Calibri" w:eastAsia="Times New Roman" w:hAnsi="Calibri" w:cs="Calibri"/>
          <w:b/>
          <w:bCs/>
          <w:kern w:val="28"/>
        </w:rPr>
        <w:lastRenderedPageBreak/>
        <w:tab/>
      </w:r>
      <w:r w:rsidRPr="00CF63AB">
        <w:rPr>
          <w:rFonts w:ascii="Calibri" w:eastAsia="Times New Roman" w:hAnsi="Calibri" w:cs="Calibri"/>
          <w:kern w:val="28"/>
        </w:rPr>
        <w:t>Some investors are suing the SEC for negligence in its regulatory responsibility and not being able to identify the fraud.   Such attempts represent first time investors have sought restitution from a regulatory agency.  Christopher Cox, SEC Chairman at the start of the fraud investigation indicated that the SEC examiner has missed ‘red flags’ in reviewing the Madoff firm.  Allegations of wrongdoing started nearly 10 years ago and Madoff confirms fraud dating back to the early 1990s.  Repeated investigations and examinations by the SEC showed no investment fraud.  Because many SEC employees end up working in the investment business on Wall Street, there was speculation that an overall lack of objectivity clouded these investigations.</w:t>
      </w:r>
    </w:p>
    <w:p w:rsidR="00CF63AB" w:rsidRPr="00CF63AB" w:rsidRDefault="00CF63AB" w:rsidP="00CF63AB">
      <w:pPr>
        <w:widowControl w:val="0"/>
        <w:overflowPunct w:val="0"/>
        <w:autoSpaceDE w:val="0"/>
        <w:autoSpaceDN w:val="0"/>
        <w:adjustRightInd w:val="0"/>
        <w:spacing w:after="0" w:line="480" w:lineRule="auto"/>
        <w:rPr>
          <w:rFonts w:ascii="Calibri" w:eastAsia="Times New Roman" w:hAnsi="Calibri" w:cs="Calibri"/>
          <w:kern w:val="28"/>
        </w:rPr>
      </w:pPr>
      <w:r w:rsidRPr="00CF63AB">
        <w:rPr>
          <w:rFonts w:ascii="Calibri" w:eastAsia="Times New Roman" w:hAnsi="Calibri" w:cs="Calibri"/>
          <w:kern w:val="28"/>
        </w:rPr>
        <w:tab/>
        <w:t>Most investors are looking for minor compensation from the Securities Investor Protection Group (SIPC) which is a security-industry group started by Congress to provide up to $500,000 per customer for theft in a relationship between a broker and direct investor.   The trustee has mailed claim forms to more than 8,000 Madoff customers. Many experts believe that third party investors (those who invested indirectly in the Madoff accounts) will not be eligible for SIPC funds.</w:t>
      </w:r>
    </w:p>
    <w:p w:rsidR="00CF63AB" w:rsidRPr="00CF63AB" w:rsidRDefault="00CF63AB" w:rsidP="00CF63AB">
      <w:pPr>
        <w:widowControl w:val="0"/>
        <w:overflowPunct w:val="0"/>
        <w:autoSpaceDE w:val="0"/>
        <w:autoSpaceDN w:val="0"/>
        <w:adjustRightInd w:val="0"/>
        <w:spacing w:after="0" w:line="480" w:lineRule="auto"/>
        <w:rPr>
          <w:rFonts w:ascii="Calibri" w:eastAsia="Times New Roman" w:hAnsi="Calibri" w:cs="Calibri"/>
          <w:kern w:val="28"/>
        </w:rPr>
      </w:pPr>
      <w:r w:rsidRPr="00CF63AB">
        <w:rPr>
          <w:rFonts w:ascii="Calibri" w:eastAsia="Times New Roman" w:hAnsi="Calibri" w:cs="Calibri"/>
          <w:kern w:val="28"/>
        </w:rPr>
        <w:tab/>
        <w:t>Some investors are engaging in “</w:t>
      </w:r>
      <w:proofErr w:type="spellStart"/>
      <w:r w:rsidRPr="00CF63AB">
        <w:rPr>
          <w:rFonts w:ascii="Calibri" w:eastAsia="Times New Roman" w:hAnsi="Calibri" w:cs="Calibri"/>
          <w:kern w:val="28"/>
        </w:rPr>
        <w:t>clawback</w:t>
      </w:r>
      <w:proofErr w:type="spellEnd"/>
      <w:r w:rsidRPr="00CF63AB">
        <w:rPr>
          <w:rFonts w:ascii="Calibri" w:eastAsia="Times New Roman" w:hAnsi="Calibri" w:cs="Calibri"/>
          <w:kern w:val="28"/>
        </w:rPr>
        <w:t xml:space="preserve"> suits.”   This litigation would attempt to secure funds from ‘investors’ who had been able to successfully withdraw funds and reallocate that money among the defrauded clients.  To protect their assets, many who have received payout funds from Madoff are transferring the money to irrevocable trusts, homes, annuities, or life insurance policies to protect them from seizure (Kim, 2009). </w:t>
      </w:r>
    </w:p>
    <w:p w:rsidR="00CF63AB" w:rsidRPr="00CF63AB" w:rsidRDefault="00CF63AB" w:rsidP="00CF63AB">
      <w:pPr>
        <w:widowControl w:val="0"/>
        <w:overflowPunct w:val="0"/>
        <w:autoSpaceDE w:val="0"/>
        <w:autoSpaceDN w:val="0"/>
        <w:adjustRightInd w:val="0"/>
        <w:spacing w:after="0" w:line="480" w:lineRule="auto"/>
        <w:rPr>
          <w:rFonts w:ascii="Calibri" w:eastAsia="Times New Roman" w:hAnsi="Calibri" w:cs="Calibri"/>
          <w:kern w:val="28"/>
        </w:rPr>
      </w:pPr>
      <w:r w:rsidRPr="00CF63AB">
        <w:rPr>
          <w:rFonts w:ascii="Calibri" w:eastAsia="Times New Roman" w:hAnsi="Calibri" w:cs="Calibri"/>
          <w:kern w:val="28"/>
        </w:rPr>
        <w:tab/>
        <w:t xml:space="preserve">A search of Madoff’s office by Federal prosecutors and investigators found about 100 signed checks for nearly $173 million.  The court appointed trustee has obtained $29 million in assets and identified another $830 million in liquid assets which could be recovered and returned to investors.  </w:t>
      </w:r>
    </w:p>
    <w:p w:rsidR="00CF63AB" w:rsidRPr="00CF63AB" w:rsidRDefault="00CF63AB" w:rsidP="00CF63AB">
      <w:pPr>
        <w:widowControl w:val="0"/>
        <w:overflowPunct w:val="0"/>
        <w:autoSpaceDE w:val="0"/>
        <w:autoSpaceDN w:val="0"/>
        <w:adjustRightInd w:val="0"/>
        <w:spacing w:after="0" w:line="480" w:lineRule="auto"/>
        <w:rPr>
          <w:rFonts w:ascii="Calibri" w:eastAsia="Times New Roman" w:hAnsi="Calibri" w:cs="Calibri"/>
          <w:kern w:val="28"/>
        </w:rPr>
      </w:pPr>
      <w:r w:rsidRPr="00CF63AB">
        <w:rPr>
          <w:rFonts w:ascii="Calibri" w:eastAsia="Times New Roman" w:hAnsi="Calibri" w:cs="Calibri"/>
          <w:kern w:val="28"/>
        </w:rPr>
        <w:tab/>
        <w:t xml:space="preserve">Perhaps the greatest restitution for some investors came as Bernard Madoff was handcuffed on March 12 and taken to prison after his 12 minute confession of guilt in a Lower Manhattan court house.  Some victims asked the judge for a trial to uncover more about this extensive fraud and to determine </w:t>
      </w:r>
      <w:r w:rsidRPr="00CF63AB">
        <w:rPr>
          <w:rFonts w:ascii="Calibri" w:eastAsia="Times New Roman" w:hAnsi="Calibri" w:cs="Calibri"/>
          <w:kern w:val="28"/>
        </w:rPr>
        <w:lastRenderedPageBreak/>
        <w:t>why the governments ‘regulatory system failed to many investors.  Judge Chin indicated there would be no trial as there was a plea of guilt and ongoing investigation at hand (</w:t>
      </w:r>
      <w:proofErr w:type="spellStart"/>
      <w:r w:rsidRPr="00CF63AB">
        <w:rPr>
          <w:rFonts w:ascii="Calibri" w:eastAsia="Times New Roman" w:hAnsi="Calibri" w:cs="Calibri"/>
          <w:kern w:val="28"/>
        </w:rPr>
        <w:t>Lucchetti</w:t>
      </w:r>
      <w:proofErr w:type="spellEnd"/>
      <w:r w:rsidRPr="00CF63AB">
        <w:rPr>
          <w:rFonts w:ascii="Calibri" w:eastAsia="Times New Roman" w:hAnsi="Calibri" w:cs="Calibri"/>
          <w:kern w:val="28"/>
        </w:rPr>
        <w:t>, 2009).</w:t>
      </w:r>
    </w:p>
    <w:p w:rsidR="00CF63AB" w:rsidRPr="00CF63AB" w:rsidRDefault="00CF63AB" w:rsidP="00CF63AB">
      <w:pPr>
        <w:widowControl w:val="0"/>
        <w:overflowPunct w:val="0"/>
        <w:autoSpaceDE w:val="0"/>
        <w:autoSpaceDN w:val="0"/>
        <w:adjustRightInd w:val="0"/>
        <w:spacing w:after="0" w:line="480" w:lineRule="auto"/>
        <w:rPr>
          <w:rFonts w:ascii="Calibri" w:eastAsia="Times New Roman" w:hAnsi="Calibri" w:cs="Calibri"/>
          <w:kern w:val="28"/>
        </w:rPr>
      </w:pPr>
    </w:p>
    <w:p w:rsidR="00CF63AB" w:rsidRPr="00CF63AB" w:rsidRDefault="00CF63AB" w:rsidP="00CF63AB">
      <w:pPr>
        <w:widowControl w:val="0"/>
        <w:overflowPunct w:val="0"/>
        <w:autoSpaceDE w:val="0"/>
        <w:autoSpaceDN w:val="0"/>
        <w:adjustRightInd w:val="0"/>
        <w:spacing w:after="0" w:line="480" w:lineRule="auto"/>
        <w:rPr>
          <w:rFonts w:ascii="Calibri" w:eastAsia="Times New Roman" w:hAnsi="Calibri" w:cs="Calibri"/>
          <w:b/>
          <w:bCs/>
          <w:kern w:val="28"/>
        </w:rPr>
      </w:pPr>
      <w:r w:rsidRPr="00CF63AB">
        <w:rPr>
          <w:rFonts w:ascii="Calibri" w:eastAsia="Times New Roman" w:hAnsi="Calibri" w:cs="Calibri"/>
          <w:b/>
          <w:bCs/>
          <w:kern w:val="28"/>
        </w:rPr>
        <w:t>The Future of Charitable Giving</w:t>
      </w:r>
    </w:p>
    <w:p w:rsidR="00CF63AB" w:rsidRPr="00CF63AB" w:rsidRDefault="00CF63AB" w:rsidP="00CF63AB">
      <w:pPr>
        <w:widowControl w:val="0"/>
        <w:overflowPunct w:val="0"/>
        <w:autoSpaceDE w:val="0"/>
        <w:autoSpaceDN w:val="0"/>
        <w:adjustRightInd w:val="0"/>
        <w:spacing w:after="0" w:line="480" w:lineRule="auto"/>
        <w:rPr>
          <w:rFonts w:ascii="Calibri" w:eastAsia="Times New Roman" w:hAnsi="Calibri" w:cs="Calibri"/>
          <w:kern w:val="28"/>
        </w:rPr>
      </w:pPr>
      <w:r w:rsidRPr="00CF63AB">
        <w:rPr>
          <w:rFonts w:ascii="Calibri" w:eastAsia="Times New Roman" w:hAnsi="Calibri" w:cs="Calibri"/>
          <w:kern w:val="28"/>
        </w:rPr>
        <w:tab/>
        <w:t xml:space="preserve">Due to the widespread impact of the Madoff-related losses upon charities, non-profits, and educational institutions, donor skepticism and </w:t>
      </w:r>
      <w:proofErr w:type="spellStart"/>
      <w:r w:rsidRPr="00CF63AB">
        <w:rPr>
          <w:rFonts w:ascii="Calibri" w:eastAsia="Times New Roman" w:hAnsi="Calibri" w:cs="Calibri"/>
          <w:kern w:val="28"/>
        </w:rPr>
        <w:t>withdrawl</w:t>
      </w:r>
      <w:proofErr w:type="spellEnd"/>
      <w:r w:rsidRPr="00CF63AB">
        <w:rPr>
          <w:rFonts w:ascii="Calibri" w:eastAsia="Times New Roman" w:hAnsi="Calibri" w:cs="Calibri"/>
          <w:kern w:val="28"/>
        </w:rPr>
        <w:t xml:space="preserve"> are not unexpected consequences.  As mentioned earlier, some of the organizations affected include the </w:t>
      </w:r>
      <w:proofErr w:type="spellStart"/>
      <w:r w:rsidRPr="00CF63AB">
        <w:rPr>
          <w:rFonts w:ascii="Calibri" w:eastAsia="Times New Roman" w:hAnsi="Calibri" w:cs="Calibri"/>
          <w:kern w:val="28"/>
        </w:rPr>
        <w:t>Elie</w:t>
      </w:r>
      <w:proofErr w:type="spellEnd"/>
      <w:r w:rsidRPr="00CF63AB">
        <w:rPr>
          <w:rFonts w:ascii="Calibri" w:eastAsia="Times New Roman" w:hAnsi="Calibri" w:cs="Calibri"/>
          <w:kern w:val="28"/>
        </w:rPr>
        <w:t xml:space="preserve"> Wiesel Foundation for Humanity, Yeshiva University, and </w:t>
      </w:r>
      <w:proofErr w:type="spellStart"/>
      <w:r w:rsidRPr="00CF63AB">
        <w:rPr>
          <w:rFonts w:ascii="Calibri" w:eastAsia="Times New Roman" w:hAnsi="Calibri" w:cs="Calibri"/>
          <w:kern w:val="28"/>
        </w:rPr>
        <w:t>Wunderkinder</w:t>
      </w:r>
      <w:proofErr w:type="spellEnd"/>
      <w:r w:rsidRPr="00CF63AB">
        <w:rPr>
          <w:rFonts w:ascii="Calibri" w:eastAsia="Times New Roman" w:hAnsi="Calibri" w:cs="Calibri"/>
          <w:kern w:val="28"/>
        </w:rPr>
        <w:t xml:space="preserve"> Foundation (Steven Spielberg’s Fund).  This wariness comes at a time when the global recession has resulted in losses of around 30% for many foundation endowments.  The vast majority of non-profits indicate that the economy was having a negative/very negative impact on fund raising, before the Madoff scandal was exposed.  There is an increased care and sensitivity that will accompany charitable giving and shape the questions and stipulations placed upon donations.   Some guidelines provided for evaluating responsible charities include the following: 1.) see what materials are readily available to potential investors/donors from the organization (annual reports, audited financial statements, payroll, and overhead), 2.) Who is the charity invested with and how much of their funds are invested, 3.) Who is managing the fund/charity and is there an independent investment committee (who’s on this committee), 4.) </w:t>
      </w:r>
      <w:proofErr w:type="gramStart"/>
      <w:r w:rsidRPr="00CF63AB">
        <w:rPr>
          <w:rFonts w:ascii="Calibri" w:eastAsia="Times New Roman" w:hAnsi="Calibri" w:cs="Calibri"/>
          <w:kern w:val="28"/>
        </w:rPr>
        <w:t>is</w:t>
      </w:r>
      <w:proofErr w:type="gramEnd"/>
      <w:r w:rsidRPr="00CF63AB">
        <w:rPr>
          <w:rFonts w:ascii="Calibri" w:eastAsia="Times New Roman" w:hAnsi="Calibri" w:cs="Calibri"/>
          <w:kern w:val="28"/>
        </w:rPr>
        <w:t xml:space="preserve"> the investment portfolio appropriately diversified, 5.) Who is auditing the fund/charity, and </w:t>
      </w:r>
      <w:proofErr w:type="gramStart"/>
      <w:r w:rsidRPr="00CF63AB">
        <w:rPr>
          <w:rFonts w:ascii="Calibri" w:eastAsia="Times New Roman" w:hAnsi="Calibri" w:cs="Calibri"/>
          <w:kern w:val="28"/>
        </w:rPr>
        <w:t>6.</w:t>
      </w:r>
      <w:proofErr w:type="gramEnd"/>
      <w:r w:rsidRPr="00CF63AB">
        <w:rPr>
          <w:rFonts w:ascii="Calibri" w:eastAsia="Times New Roman" w:hAnsi="Calibri" w:cs="Calibri"/>
          <w:kern w:val="28"/>
        </w:rPr>
        <w:t xml:space="preserve">) </w:t>
      </w:r>
      <w:proofErr w:type="gramStart"/>
      <w:r w:rsidRPr="00CF63AB">
        <w:rPr>
          <w:rFonts w:ascii="Calibri" w:eastAsia="Times New Roman" w:hAnsi="Calibri" w:cs="Calibri"/>
          <w:kern w:val="28"/>
        </w:rPr>
        <w:t>is</w:t>
      </w:r>
      <w:proofErr w:type="gramEnd"/>
      <w:r w:rsidRPr="00CF63AB">
        <w:rPr>
          <w:rFonts w:ascii="Calibri" w:eastAsia="Times New Roman" w:hAnsi="Calibri" w:cs="Calibri"/>
          <w:kern w:val="28"/>
        </w:rPr>
        <w:t xml:space="preserve"> there objectivity among board members through written ‘conflict of interest’ statements that prevent direct business dealings while serving on the board. </w:t>
      </w:r>
    </w:p>
    <w:p w:rsidR="00CF63AB" w:rsidRPr="00CF63AB" w:rsidRDefault="00CF63AB" w:rsidP="00CF63AB">
      <w:pPr>
        <w:widowControl w:val="0"/>
        <w:overflowPunct w:val="0"/>
        <w:autoSpaceDE w:val="0"/>
        <w:autoSpaceDN w:val="0"/>
        <w:adjustRightInd w:val="0"/>
        <w:spacing w:after="0" w:line="480" w:lineRule="auto"/>
        <w:rPr>
          <w:rFonts w:ascii="Calibri" w:eastAsia="Times New Roman" w:hAnsi="Calibri" w:cs="Calibri"/>
          <w:kern w:val="28"/>
        </w:rPr>
      </w:pPr>
    </w:p>
    <w:p w:rsidR="00CF63AB" w:rsidRPr="00CF63AB" w:rsidRDefault="00CF63AB" w:rsidP="00CF63AB">
      <w:pPr>
        <w:widowControl w:val="0"/>
        <w:overflowPunct w:val="0"/>
        <w:autoSpaceDE w:val="0"/>
        <w:autoSpaceDN w:val="0"/>
        <w:adjustRightInd w:val="0"/>
        <w:spacing w:after="0" w:line="480" w:lineRule="auto"/>
        <w:rPr>
          <w:rFonts w:ascii="Calibri" w:eastAsia="Times New Roman" w:hAnsi="Calibri" w:cs="Calibri"/>
          <w:kern w:val="28"/>
        </w:rPr>
      </w:pPr>
    </w:p>
    <w:p w:rsidR="00CF63AB" w:rsidRPr="00CF63AB" w:rsidRDefault="00CF63AB" w:rsidP="00CF63AB">
      <w:pPr>
        <w:widowControl w:val="0"/>
        <w:overflowPunct w:val="0"/>
        <w:autoSpaceDE w:val="0"/>
        <w:autoSpaceDN w:val="0"/>
        <w:adjustRightInd w:val="0"/>
        <w:spacing w:after="0" w:line="480" w:lineRule="auto"/>
        <w:rPr>
          <w:rFonts w:ascii="Calibri" w:eastAsia="Times New Roman" w:hAnsi="Calibri" w:cs="Calibri"/>
          <w:kern w:val="28"/>
        </w:rPr>
      </w:pPr>
    </w:p>
    <w:p w:rsidR="00CF63AB" w:rsidRPr="00CF63AB" w:rsidRDefault="00CF63AB" w:rsidP="00CF63AB">
      <w:pPr>
        <w:widowControl w:val="0"/>
        <w:overflowPunct w:val="0"/>
        <w:autoSpaceDE w:val="0"/>
        <w:autoSpaceDN w:val="0"/>
        <w:adjustRightInd w:val="0"/>
        <w:spacing w:after="0" w:line="480" w:lineRule="auto"/>
        <w:rPr>
          <w:rFonts w:ascii="Calibri" w:eastAsia="Times New Roman" w:hAnsi="Calibri" w:cs="Calibri"/>
          <w:b/>
          <w:bCs/>
          <w:kern w:val="28"/>
        </w:rPr>
      </w:pPr>
      <w:r w:rsidRPr="00CF63AB">
        <w:rPr>
          <w:rFonts w:ascii="Calibri" w:eastAsia="Times New Roman" w:hAnsi="Calibri" w:cs="Calibri"/>
          <w:b/>
          <w:bCs/>
          <w:kern w:val="28"/>
        </w:rPr>
        <w:t>Conclusions</w:t>
      </w:r>
    </w:p>
    <w:p w:rsidR="00CF63AB" w:rsidRPr="00CF63AB" w:rsidRDefault="00CF63AB" w:rsidP="00CF63AB">
      <w:pPr>
        <w:widowControl w:val="0"/>
        <w:overflowPunct w:val="0"/>
        <w:autoSpaceDE w:val="0"/>
        <w:autoSpaceDN w:val="0"/>
        <w:adjustRightInd w:val="0"/>
        <w:spacing w:after="0" w:line="480" w:lineRule="auto"/>
        <w:rPr>
          <w:rFonts w:ascii="Calibri" w:eastAsia="Times New Roman" w:hAnsi="Calibri" w:cs="Calibri"/>
          <w:kern w:val="28"/>
        </w:rPr>
      </w:pPr>
      <w:r w:rsidRPr="00CF63AB">
        <w:rPr>
          <w:rFonts w:ascii="Calibri" w:eastAsia="Times New Roman" w:hAnsi="Calibri" w:cs="Calibri"/>
          <w:kern w:val="28"/>
        </w:rPr>
        <w:lastRenderedPageBreak/>
        <w:tab/>
        <w:t xml:space="preserve">Bernard Madoff is accused of creating Ponzi scheme that destroyed $65 billion in investments.  Many people are trying to understand how so many experienced investors, including banks, insurance companies, and nonprofit foundations lost billions of dollars to an individual who was able to deceive them as well as regulators.  Investigators are trying to determine who helped Madoff carry off what some say could be a 30 year scheme that caused the$65 billion in losses and may have impacted over 4,800 people.  Accountants, auditors and regulators are supposed to be gatekeepers that protect the public interest.  Investigators believe that Madoff had a trading strategy that failed, then after a while, he made few trades for many years and his operation consisted of taking money from new clients and </w:t>
      </w:r>
      <w:proofErr w:type="gramStart"/>
      <w:r w:rsidRPr="00CF63AB">
        <w:rPr>
          <w:rFonts w:ascii="Calibri" w:eastAsia="Times New Roman" w:hAnsi="Calibri" w:cs="Calibri"/>
          <w:kern w:val="28"/>
        </w:rPr>
        <w:t>paying  it</w:t>
      </w:r>
      <w:proofErr w:type="gramEnd"/>
      <w:r w:rsidRPr="00CF63AB">
        <w:rPr>
          <w:rFonts w:ascii="Calibri" w:eastAsia="Times New Roman" w:hAnsi="Calibri" w:cs="Calibri"/>
          <w:kern w:val="28"/>
        </w:rPr>
        <w:t xml:space="preserve"> out to existing clients, a classic Ponzi scheme.</w:t>
      </w:r>
    </w:p>
    <w:p w:rsidR="00CF63AB" w:rsidRPr="00CF63AB" w:rsidRDefault="00CF63AB" w:rsidP="00CF63AB">
      <w:pPr>
        <w:widowControl w:val="0"/>
        <w:overflowPunct w:val="0"/>
        <w:autoSpaceDE w:val="0"/>
        <w:autoSpaceDN w:val="0"/>
        <w:adjustRightInd w:val="0"/>
        <w:spacing w:after="0" w:line="480" w:lineRule="auto"/>
        <w:rPr>
          <w:rFonts w:ascii="Calibri" w:eastAsia="Times New Roman" w:hAnsi="Calibri" w:cs="Calibri"/>
          <w:kern w:val="28"/>
        </w:rPr>
      </w:pPr>
      <w:r w:rsidRPr="00CF63AB">
        <w:rPr>
          <w:rFonts w:ascii="Calibri" w:eastAsia="Times New Roman" w:hAnsi="Calibri" w:cs="Calibri"/>
          <w:kern w:val="28"/>
        </w:rPr>
        <w:tab/>
        <w:t>From an ethical perspective, this would be an example of white collar crime.  White collar crime creates victims by establishing trust and respectability.  As in this case, victims of white collar crime are trusting clients who believed there were many checks and balances that certified the Madoff investment operation as legitimate.  Madoff appears to be the classic white collar criminal. He was an educated and experienced individual in a position of power, trust, respectability and responsibility and abused his trust for personal gains.  From the inception of his investment business, he knew that he was operating a Ponzi scheme and defrauding his clients.  In the end, he said he “knew this day would come.”</w:t>
      </w:r>
    </w:p>
    <w:p w:rsidR="00CF63AB" w:rsidRPr="00CF63AB" w:rsidRDefault="00CF63AB" w:rsidP="00CF63AB">
      <w:pPr>
        <w:widowControl w:val="0"/>
        <w:overflowPunct w:val="0"/>
        <w:autoSpaceDE w:val="0"/>
        <w:autoSpaceDN w:val="0"/>
        <w:adjustRightInd w:val="0"/>
        <w:spacing w:after="0" w:line="480" w:lineRule="auto"/>
        <w:rPr>
          <w:rFonts w:ascii="Calibri" w:eastAsia="Times New Roman" w:hAnsi="Calibri" w:cs="Calibri"/>
          <w:kern w:val="28"/>
        </w:rPr>
      </w:pPr>
      <w:r w:rsidRPr="00CF63AB">
        <w:rPr>
          <w:rFonts w:ascii="Calibri" w:eastAsia="Times New Roman" w:hAnsi="Calibri" w:cs="Calibri"/>
          <w:kern w:val="28"/>
        </w:rPr>
        <w:tab/>
        <w:t xml:space="preserve">An important question is how one individual could deceive so many people that certified his operation as legitimate. Madoff’s accountants, family and other employees will have to answer to authorities about their knowledge of the operations.  For example, investigators have issued a subpoena for David </w:t>
      </w:r>
      <w:proofErr w:type="spellStart"/>
      <w:r w:rsidRPr="00CF63AB">
        <w:rPr>
          <w:rFonts w:ascii="Calibri" w:eastAsia="Times New Roman" w:hAnsi="Calibri" w:cs="Calibri"/>
          <w:kern w:val="28"/>
        </w:rPr>
        <w:t>Friehling</w:t>
      </w:r>
      <w:proofErr w:type="spellEnd"/>
      <w:r w:rsidRPr="00CF63AB">
        <w:rPr>
          <w:rFonts w:ascii="Calibri" w:eastAsia="Times New Roman" w:hAnsi="Calibri" w:cs="Calibri"/>
          <w:kern w:val="28"/>
        </w:rPr>
        <w:t xml:space="preserve"> who is a New York accountant who audited Madoff’s financial statements.  Frank </w:t>
      </w:r>
      <w:proofErr w:type="spellStart"/>
      <w:r w:rsidRPr="00CF63AB">
        <w:rPr>
          <w:rFonts w:ascii="Calibri" w:eastAsia="Times New Roman" w:hAnsi="Calibri" w:cs="Calibri"/>
          <w:kern w:val="28"/>
        </w:rPr>
        <w:t>DiPascili</w:t>
      </w:r>
      <w:proofErr w:type="spellEnd"/>
      <w:r w:rsidRPr="00CF63AB">
        <w:rPr>
          <w:rFonts w:ascii="Calibri" w:eastAsia="Times New Roman" w:hAnsi="Calibri" w:cs="Calibri"/>
          <w:kern w:val="28"/>
        </w:rPr>
        <w:t>, who dealt with client accountants and worked at Madoff’s firm for 22 years “responded evasively” and many of his answers to investigators were “incomprehensible”. While only Madoff has been charged with misconduct at this time, if there were other participants, they will face responsibility for their actions.</w:t>
      </w:r>
    </w:p>
    <w:p w:rsidR="00CF63AB" w:rsidRPr="00CF63AB" w:rsidRDefault="00CF63AB" w:rsidP="00CF63AB">
      <w:pPr>
        <w:widowControl w:val="0"/>
        <w:overflowPunct w:val="0"/>
        <w:autoSpaceDE w:val="0"/>
        <w:autoSpaceDN w:val="0"/>
        <w:adjustRightInd w:val="0"/>
        <w:spacing w:after="0" w:line="480" w:lineRule="auto"/>
        <w:rPr>
          <w:rFonts w:ascii="Calibri" w:eastAsia="Times New Roman" w:hAnsi="Calibri" w:cs="Calibri"/>
          <w:kern w:val="28"/>
        </w:rPr>
      </w:pPr>
      <w:r w:rsidRPr="00CF63AB">
        <w:rPr>
          <w:rFonts w:ascii="Calibri" w:eastAsia="Times New Roman" w:hAnsi="Calibri" w:cs="Calibri"/>
          <w:kern w:val="28"/>
        </w:rPr>
        <w:lastRenderedPageBreak/>
        <w:tab/>
        <w:t xml:space="preserve">White collar crime is unique in that it is often done knowingly by a rouge individual to steal, cheat or manipulate in order to damage others. Often, the only way to prevent white collar crime is to have internal controls and compliance standards that detect misconduct.  Perhaps the most difficult white collar crime and fraud to expose is that perpetrated by the top executive.  We count on leadership within an organization to create, manage and motivate and ethical organizational culture with all the checks and balances in place.  In the Madoff case there was the opportunity to deceive others without effective audits or transparency and an understanding of the true nature of his operations.  As a result of this case, individual investors, institutions, and hopefully regulators will exert more diligence in demanding transparency and honesty from those that manage investments. </w:t>
      </w:r>
    </w:p>
    <w:p w:rsidR="00CF63AB" w:rsidRPr="00CF63AB" w:rsidRDefault="00CF63AB" w:rsidP="00CF63AB">
      <w:pPr>
        <w:widowControl w:val="0"/>
        <w:overflowPunct w:val="0"/>
        <w:autoSpaceDE w:val="0"/>
        <w:autoSpaceDN w:val="0"/>
        <w:adjustRightInd w:val="0"/>
        <w:spacing w:after="0" w:line="480" w:lineRule="auto"/>
        <w:rPr>
          <w:rFonts w:ascii="Calibri" w:eastAsia="Times New Roman" w:hAnsi="Calibri" w:cs="Calibri"/>
          <w:kern w:val="28"/>
        </w:rPr>
      </w:pPr>
    </w:p>
    <w:p w:rsidR="00CF63AB" w:rsidRPr="00CF63AB" w:rsidRDefault="00CF63AB" w:rsidP="00CF63AB">
      <w:pPr>
        <w:widowControl w:val="0"/>
        <w:overflowPunct w:val="0"/>
        <w:autoSpaceDE w:val="0"/>
        <w:autoSpaceDN w:val="0"/>
        <w:adjustRightInd w:val="0"/>
        <w:spacing w:after="0" w:line="240" w:lineRule="auto"/>
        <w:rPr>
          <w:rFonts w:ascii="Calibri" w:eastAsia="Times New Roman" w:hAnsi="Calibri" w:cs="Calibri"/>
          <w:b/>
          <w:bCs/>
          <w:kern w:val="28"/>
        </w:rPr>
      </w:pPr>
      <w:r w:rsidRPr="00CF63AB">
        <w:rPr>
          <w:rFonts w:ascii="Calibri" w:eastAsia="Times New Roman" w:hAnsi="Calibri" w:cs="Calibri"/>
          <w:b/>
          <w:bCs/>
          <w:kern w:val="28"/>
        </w:rPr>
        <w:t>Copyright Linda Ferrell, 2009. The case is designed exclusively for classroom discussion rather than to illustrate effective or ineffective handling of an administrative ethical or legal decision of management.  All sources were obtained through publically available sources.</w:t>
      </w:r>
    </w:p>
    <w:p w:rsidR="00CF63AB" w:rsidRPr="00CF63AB" w:rsidRDefault="00CF63AB" w:rsidP="00CF63AB">
      <w:pPr>
        <w:widowControl w:val="0"/>
        <w:overflowPunct w:val="0"/>
        <w:autoSpaceDE w:val="0"/>
        <w:autoSpaceDN w:val="0"/>
        <w:adjustRightInd w:val="0"/>
        <w:spacing w:after="0" w:line="480" w:lineRule="auto"/>
        <w:rPr>
          <w:rFonts w:ascii="Calibri" w:eastAsia="Times New Roman" w:hAnsi="Calibri" w:cs="Calibri"/>
          <w:kern w:val="28"/>
        </w:rPr>
      </w:pPr>
      <w:r w:rsidRPr="00CF63AB">
        <w:rPr>
          <w:rFonts w:ascii="Calibri" w:eastAsia="Times New Roman" w:hAnsi="Calibri" w:cs="Calibri"/>
          <w:kern w:val="28"/>
        </w:rPr>
        <w:tab/>
      </w:r>
    </w:p>
    <w:p w:rsidR="00CF63AB" w:rsidRPr="00CF63AB" w:rsidRDefault="00CF63AB" w:rsidP="00CF63AB">
      <w:pPr>
        <w:widowControl w:val="0"/>
        <w:overflowPunct w:val="0"/>
        <w:autoSpaceDE w:val="0"/>
        <w:autoSpaceDN w:val="0"/>
        <w:adjustRightInd w:val="0"/>
        <w:spacing w:after="0" w:line="480" w:lineRule="auto"/>
        <w:rPr>
          <w:rFonts w:ascii="Calibri" w:eastAsia="Times New Roman" w:hAnsi="Calibri" w:cs="Calibri"/>
          <w:kern w:val="28"/>
        </w:rPr>
      </w:pPr>
    </w:p>
    <w:p w:rsidR="00CF63AB" w:rsidRPr="00CF63AB" w:rsidRDefault="00CF63AB" w:rsidP="00CF63AB">
      <w:pPr>
        <w:widowControl w:val="0"/>
        <w:overflowPunct w:val="0"/>
        <w:autoSpaceDE w:val="0"/>
        <w:autoSpaceDN w:val="0"/>
        <w:adjustRightInd w:val="0"/>
        <w:spacing w:after="0" w:line="480" w:lineRule="auto"/>
        <w:rPr>
          <w:rFonts w:ascii="Calibri" w:eastAsia="Times New Roman" w:hAnsi="Calibri" w:cs="Calibri"/>
          <w:kern w:val="28"/>
        </w:rPr>
      </w:pPr>
    </w:p>
    <w:p w:rsidR="00CF63AB" w:rsidRPr="00CF63AB" w:rsidRDefault="00CF63AB" w:rsidP="00CF63AB">
      <w:pPr>
        <w:widowControl w:val="0"/>
        <w:overflowPunct w:val="0"/>
        <w:autoSpaceDE w:val="0"/>
        <w:autoSpaceDN w:val="0"/>
        <w:adjustRightInd w:val="0"/>
        <w:spacing w:after="0" w:line="480" w:lineRule="auto"/>
        <w:rPr>
          <w:rFonts w:ascii="Calibri" w:eastAsia="Times New Roman" w:hAnsi="Calibri" w:cs="Calibri"/>
          <w:kern w:val="28"/>
        </w:rPr>
      </w:pPr>
    </w:p>
    <w:p w:rsidR="00CF63AB" w:rsidRPr="00CF63AB" w:rsidRDefault="00CF63AB" w:rsidP="00CF63AB">
      <w:pPr>
        <w:widowControl w:val="0"/>
        <w:overflowPunct w:val="0"/>
        <w:autoSpaceDE w:val="0"/>
        <w:autoSpaceDN w:val="0"/>
        <w:adjustRightInd w:val="0"/>
        <w:spacing w:after="0" w:line="480" w:lineRule="auto"/>
        <w:rPr>
          <w:rFonts w:ascii="Calibri" w:eastAsia="Times New Roman" w:hAnsi="Calibri" w:cs="Calibri"/>
          <w:kern w:val="28"/>
        </w:rPr>
      </w:pPr>
    </w:p>
    <w:p w:rsidR="00CF63AB" w:rsidRPr="00CF63AB" w:rsidRDefault="00CF63AB" w:rsidP="00CF63AB">
      <w:pPr>
        <w:widowControl w:val="0"/>
        <w:overflowPunct w:val="0"/>
        <w:autoSpaceDE w:val="0"/>
        <w:autoSpaceDN w:val="0"/>
        <w:adjustRightInd w:val="0"/>
        <w:spacing w:after="0" w:line="480" w:lineRule="auto"/>
        <w:rPr>
          <w:rFonts w:ascii="Calibri" w:eastAsia="Times New Roman" w:hAnsi="Calibri" w:cs="Calibri"/>
          <w:kern w:val="28"/>
        </w:rPr>
      </w:pPr>
    </w:p>
    <w:p w:rsidR="00CF63AB" w:rsidRPr="00CF63AB" w:rsidRDefault="00CF63AB" w:rsidP="00CF63AB">
      <w:pPr>
        <w:widowControl w:val="0"/>
        <w:overflowPunct w:val="0"/>
        <w:autoSpaceDE w:val="0"/>
        <w:autoSpaceDN w:val="0"/>
        <w:adjustRightInd w:val="0"/>
        <w:spacing w:after="0" w:line="480" w:lineRule="auto"/>
        <w:rPr>
          <w:rFonts w:ascii="Calibri" w:eastAsia="Times New Roman" w:hAnsi="Calibri" w:cs="Calibri"/>
          <w:kern w:val="28"/>
        </w:rPr>
      </w:pPr>
    </w:p>
    <w:p w:rsidR="00CF63AB" w:rsidRPr="00CF63AB" w:rsidRDefault="00CF63AB" w:rsidP="00CF63AB">
      <w:pPr>
        <w:widowControl w:val="0"/>
        <w:overflowPunct w:val="0"/>
        <w:autoSpaceDE w:val="0"/>
        <w:autoSpaceDN w:val="0"/>
        <w:adjustRightInd w:val="0"/>
        <w:spacing w:after="0" w:line="480" w:lineRule="auto"/>
        <w:rPr>
          <w:rFonts w:ascii="Calibri" w:eastAsia="Times New Roman" w:hAnsi="Calibri" w:cs="Calibri"/>
          <w:kern w:val="28"/>
        </w:rPr>
      </w:pPr>
    </w:p>
    <w:p w:rsidR="00CF63AB" w:rsidRPr="00CF63AB" w:rsidRDefault="00CF63AB" w:rsidP="00CF63AB">
      <w:pPr>
        <w:widowControl w:val="0"/>
        <w:overflowPunct w:val="0"/>
        <w:autoSpaceDE w:val="0"/>
        <w:autoSpaceDN w:val="0"/>
        <w:adjustRightInd w:val="0"/>
        <w:spacing w:after="0" w:line="480" w:lineRule="auto"/>
        <w:rPr>
          <w:rFonts w:ascii="Calibri" w:eastAsia="Times New Roman" w:hAnsi="Calibri" w:cs="Calibri"/>
          <w:kern w:val="28"/>
        </w:rPr>
      </w:pPr>
    </w:p>
    <w:p w:rsidR="00CF63AB" w:rsidRPr="00CF63AB" w:rsidRDefault="00CF63AB" w:rsidP="00CF63AB">
      <w:pPr>
        <w:widowControl w:val="0"/>
        <w:overflowPunct w:val="0"/>
        <w:autoSpaceDE w:val="0"/>
        <w:autoSpaceDN w:val="0"/>
        <w:adjustRightInd w:val="0"/>
        <w:spacing w:after="0" w:line="480" w:lineRule="auto"/>
        <w:rPr>
          <w:rFonts w:ascii="Calibri" w:eastAsia="Times New Roman" w:hAnsi="Calibri" w:cs="Calibri"/>
          <w:kern w:val="28"/>
        </w:rPr>
      </w:pPr>
    </w:p>
    <w:p w:rsidR="00CF63AB" w:rsidRPr="00CF63AB" w:rsidRDefault="00CF63AB" w:rsidP="00CF63AB">
      <w:pPr>
        <w:widowControl w:val="0"/>
        <w:overflowPunct w:val="0"/>
        <w:autoSpaceDE w:val="0"/>
        <w:autoSpaceDN w:val="0"/>
        <w:adjustRightInd w:val="0"/>
        <w:spacing w:after="0" w:line="480" w:lineRule="auto"/>
        <w:rPr>
          <w:rFonts w:ascii="Calibri" w:eastAsia="Times New Roman" w:hAnsi="Calibri" w:cs="Calibri"/>
          <w:kern w:val="28"/>
        </w:rPr>
      </w:pPr>
    </w:p>
    <w:p w:rsidR="00CF63AB" w:rsidRPr="00CF63AB" w:rsidRDefault="00CF63AB" w:rsidP="00CF63AB">
      <w:pPr>
        <w:widowControl w:val="0"/>
        <w:overflowPunct w:val="0"/>
        <w:autoSpaceDE w:val="0"/>
        <w:autoSpaceDN w:val="0"/>
        <w:adjustRightInd w:val="0"/>
        <w:spacing w:after="0" w:line="240" w:lineRule="auto"/>
        <w:rPr>
          <w:rFonts w:ascii="Calibri" w:eastAsia="Times New Roman" w:hAnsi="Calibri" w:cs="Calibri"/>
          <w:b/>
          <w:bCs/>
          <w:kern w:val="28"/>
        </w:rPr>
      </w:pPr>
      <w:r w:rsidRPr="00CF63AB">
        <w:rPr>
          <w:rFonts w:ascii="Calibri" w:eastAsia="Times New Roman" w:hAnsi="Calibri" w:cs="Calibri"/>
          <w:b/>
          <w:bCs/>
          <w:kern w:val="28"/>
        </w:rPr>
        <w:t>Sources:</w:t>
      </w:r>
    </w:p>
    <w:p w:rsidR="00CF63AB" w:rsidRPr="00CF63AB" w:rsidRDefault="00CF63AB" w:rsidP="00CF63AB">
      <w:pPr>
        <w:widowControl w:val="0"/>
        <w:overflowPunct w:val="0"/>
        <w:autoSpaceDE w:val="0"/>
        <w:autoSpaceDN w:val="0"/>
        <w:adjustRightInd w:val="0"/>
        <w:spacing w:after="0" w:line="240" w:lineRule="auto"/>
        <w:rPr>
          <w:rFonts w:ascii="Calibri" w:eastAsia="Times New Roman" w:hAnsi="Calibri" w:cs="Calibri"/>
          <w:b/>
          <w:bCs/>
          <w:kern w:val="28"/>
        </w:rPr>
      </w:pPr>
    </w:p>
    <w:p w:rsidR="00CF63AB" w:rsidRPr="00CF63AB" w:rsidRDefault="00CF63AB" w:rsidP="00CF63AB">
      <w:pPr>
        <w:widowControl w:val="0"/>
        <w:overflowPunct w:val="0"/>
        <w:autoSpaceDE w:val="0"/>
        <w:autoSpaceDN w:val="0"/>
        <w:adjustRightInd w:val="0"/>
        <w:spacing w:after="0" w:line="240" w:lineRule="auto"/>
        <w:rPr>
          <w:rFonts w:ascii="Calibri" w:eastAsia="Times New Roman" w:hAnsi="Calibri" w:cs="Calibri"/>
          <w:i/>
          <w:iCs/>
          <w:kern w:val="28"/>
        </w:rPr>
      </w:pPr>
      <w:r w:rsidRPr="00CF63AB">
        <w:rPr>
          <w:rFonts w:ascii="Calibri" w:eastAsia="Times New Roman" w:hAnsi="Calibri" w:cs="Calibri"/>
          <w:kern w:val="28"/>
        </w:rPr>
        <w:t xml:space="preserve">(2009) “Madoff’s Victims,” </w:t>
      </w:r>
      <w:r w:rsidRPr="00CF63AB">
        <w:rPr>
          <w:rFonts w:ascii="Calibri" w:eastAsia="Times New Roman" w:hAnsi="Calibri" w:cs="Calibri"/>
          <w:i/>
          <w:iCs/>
          <w:kern w:val="28"/>
        </w:rPr>
        <w:t xml:space="preserve">Wall Street Journal, </w:t>
      </w:r>
      <w:hyperlink r:id="rId6" w:history="1">
        <w:r w:rsidRPr="00CF63AB">
          <w:rPr>
            <w:rFonts w:ascii="Calibri" w:eastAsia="Times New Roman" w:hAnsi="Calibri" w:cs="Calibri"/>
            <w:i/>
            <w:iCs/>
            <w:color w:val="0000FF"/>
            <w:kern w:val="28"/>
            <w:u w:val="single"/>
          </w:rPr>
          <w:t>http://s.wsj.net/public/resources/documents/st_madoff_victims_20081215.html</w:t>
        </w:r>
      </w:hyperlink>
      <w:r w:rsidRPr="00CF63AB">
        <w:rPr>
          <w:rFonts w:ascii="Calibri" w:eastAsia="Times New Roman" w:hAnsi="Calibri" w:cs="Calibri"/>
          <w:i/>
          <w:iCs/>
          <w:kern w:val="28"/>
        </w:rPr>
        <w:t xml:space="preserve">, accessed January 9, 2009. </w:t>
      </w:r>
    </w:p>
    <w:p w:rsidR="00CF63AB" w:rsidRPr="00CF63AB" w:rsidRDefault="00CF63AB" w:rsidP="00CF63AB">
      <w:pPr>
        <w:widowControl w:val="0"/>
        <w:overflowPunct w:val="0"/>
        <w:autoSpaceDE w:val="0"/>
        <w:autoSpaceDN w:val="0"/>
        <w:adjustRightInd w:val="0"/>
        <w:spacing w:after="0" w:line="240" w:lineRule="auto"/>
        <w:rPr>
          <w:rFonts w:ascii="Calibri" w:eastAsia="Times New Roman" w:hAnsi="Calibri" w:cs="Calibri"/>
          <w:i/>
          <w:iCs/>
          <w:kern w:val="28"/>
        </w:rPr>
      </w:pPr>
    </w:p>
    <w:p w:rsidR="00CF63AB" w:rsidRPr="00CF63AB" w:rsidRDefault="00CF63AB" w:rsidP="00CF63AB">
      <w:pPr>
        <w:widowControl w:val="0"/>
        <w:overflowPunct w:val="0"/>
        <w:autoSpaceDE w:val="0"/>
        <w:autoSpaceDN w:val="0"/>
        <w:adjustRightInd w:val="0"/>
        <w:spacing w:after="0" w:line="240" w:lineRule="auto"/>
        <w:rPr>
          <w:rFonts w:ascii="Calibri" w:eastAsia="Times New Roman" w:hAnsi="Calibri" w:cs="Calibri"/>
          <w:kern w:val="28"/>
        </w:rPr>
      </w:pPr>
      <w:r w:rsidRPr="00CF63AB">
        <w:rPr>
          <w:rFonts w:ascii="Calibri" w:eastAsia="Times New Roman" w:hAnsi="Calibri" w:cs="Calibri"/>
          <w:kern w:val="28"/>
        </w:rPr>
        <w:t>(2009) “Plea Allocution of Bernard L. Madoff,” http://online.wsj.com/public/resources/documents/20090315madoffall.pdf, March 12, 2009, accessed March 12, 2009.</w:t>
      </w:r>
    </w:p>
    <w:p w:rsidR="00CF63AB" w:rsidRPr="00CF63AB" w:rsidRDefault="00CF63AB" w:rsidP="00CF63AB">
      <w:pPr>
        <w:widowControl w:val="0"/>
        <w:overflowPunct w:val="0"/>
        <w:autoSpaceDE w:val="0"/>
        <w:autoSpaceDN w:val="0"/>
        <w:adjustRightInd w:val="0"/>
        <w:spacing w:after="0" w:line="240" w:lineRule="auto"/>
        <w:rPr>
          <w:rFonts w:ascii="Calibri" w:eastAsia="Times New Roman" w:hAnsi="Calibri" w:cs="Calibri"/>
          <w:i/>
          <w:iCs/>
          <w:kern w:val="28"/>
        </w:rPr>
      </w:pPr>
    </w:p>
    <w:p w:rsidR="00CF63AB" w:rsidRPr="00CF63AB" w:rsidRDefault="00CF63AB" w:rsidP="00CF63AB">
      <w:pPr>
        <w:widowControl w:val="0"/>
        <w:overflowPunct w:val="0"/>
        <w:autoSpaceDE w:val="0"/>
        <w:autoSpaceDN w:val="0"/>
        <w:adjustRightInd w:val="0"/>
        <w:spacing w:after="0" w:line="240" w:lineRule="auto"/>
        <w:rPr>
          <w:rFonts w:ascii="Calibri" w:eastAsia="Times New Roman" w:hAnsi="Calibri" w:cs="Calibri"/>
          <w:kern w:val="28"/>
        </w:rPr>
      </w:pPr>
      <w:r w:rsidRPr="00CF63AB">
        <w:rPr>
          <w:rFonts w:ascii="Calibri" w:eastAsia="Times New Roman" w:hAnsi="Calibri" w:cs="Calibri"/>
          <w:kern w:val="28"/>
        </w:rPr>
        <w:t xml:space="preserve">(2008) “Victims of Scandal Reflect on Shocking Turnabout,” </w:t>
      </w:r>
      <w:r w:rsidRPr="00CF63AB">
        <w:rPr>
          <w:rFonts w:ascii="Calibri" w:eastAsia="Times New Roman" w:hAnsi="Calibri" w:cs="Calibri"/>
          <w:i/>
          <w:iCs/>
          <w:kern w:val="28"/>
        </w:rPr>
        <w:t xml:space="preserve">Wall Street Journal, </w:t>
      </w:r>
      <w:r w:rsidRPr="00CF63AB">
        <w:rPr>
          <w:rFonts w:ascii="Calibri" w:eastAsia="Times New Roman" w:hAnsi="Calibri" w:cs="Calibri"/>
          <w:kern w:val="28"/>
        </w:rPr>
        <w:t>online.wsj.com/article/SB122972955226822819.html, accessed December 23, 2008.</w:t>
      </w:r>
    </w:p>
    <w:p w:rsidR="00CF63AB" w:rsidRPr="00CF63AB" w:rsidRDefault="00CF63AB" w:rsidP="00CF63AB">
      <w:pPr>
        <w:widowControl w:val="0"/>
        <w:overflowPunct w:val="0"/>
        <w:autoSpaceDE w:val="0"/>
        <w:autoSpaceDN w:val="0"/>
        <w:adjustRightInd w:val="0"/>
        <w:spacing w:after="0" w:line="240" w:lineRule="auto"/>
        <w:rPr>
          <w:rFonts w:ascii="Calibri" w:eastAsia="Times New Roman" w:hAnsi="Calibri" w:cs="Calibri"/>
          <w:b/>
          <w:bCs/>
          <w:kern w:val="28"/>
        </w:rPr>
      </w:pPr>
    </w:p>
    <w:p w:rsidR="00CF63AB" w:rsidRPr="00CF63AB" w:rsidRDefault="00CF63AB" w:rsidP="00CF63AB">
      <w:pPr>
        <w:widowControl w:val="0"/>
        <w:overflowPunct w:val="0"/>
        <w:autoSpaceDE w:val="0"/>
        <w:autoSpaceDN w:val="0"/>
        <w:adjustRightInd w:val="0"/>
        <w:spacing w:after="0" w:line="240" w:lineRule="auto"/>
        <w:rPr>
          <w:rFonts w:ascii="Calibri" w:eastAsia="Times New Roman" w:hAnsi="Calibri" w:cs="Calibri"/>
          <w:kern w:val="28"/>
        </w:rPr>
      </w:pPr>
      <w:proofErr w:type="gramStart"/>
      <w:r w:rsidRPr="00CF63AB">
        <w:rPr>
          <w:rFonts w:ascii="Calibri" w:eastAsia="Times New Roman" w:hAnsi="Calibri" w:cs="Calibri"/>
          <w:kern w:val="28"/>
        </w:rPr>
        <w:t xml:space="preserve">Bernstein, Elizabeth (2008) “After Madoff, Donors Grow Way of Giving,” </w:t>
      </w:r>
      <w:r w:rsidRPr="00CF63AB">
        <w:rPr>
          <w:rFonts w:ascii="Calibri" w:eastAsia="Times New Roman" w:hAnsi="Calibri" w:cs="Calibri"/>
          <w:i/>
          <w:iCs/>
          <w:kern w:val="28"/>
        </w:rPr>
        <w:t xml:space="preserve">Wall Street Journal, </w:t>
      </w:r>
      <w:r w:rsidRPr="00CF63AB">
        <w:rPr>
          <w:rFonts w:ascii="Calibri" w:eastAsia="Times New Roman" w:hAnsi="Calibri" w:cs="Calibri"/>
          <w:kern w:val="28"/>
        </w:rPr>
        <w:t>online.wsj.com/article/SB122999068109728409.html, accessed December 23, 2008.</w:t>
      </w:r>
      <w:proofErr w:type="gramEnd"/>
    </w:p>
    <w:p w:rsidR="00CF63AB" w:rsidRPr="00CF63AB" w:rsidRDefault="00CF63AB" w:rsidP="00CF63AB">
      <w:pPr>
        <w:widowControl w:val="0"/>
        <w:overflowPunct w:val="0"/>
        <w:autoSpaceDE w:val="0"/>
        <w:autoSpaceDN w:val="0"/>
        <w:adjustRightInd w:val="0"/>
        <w:spacing w:after="0" w:line="240" w:lineRule="auto"/>
        <w:rPr>
          <w:rFonts w:ascii="Calibri" w:eastAsia="Times New Roman" w:hAnsi="Calibri" w:cs="Calibri"/>
          <w:kern w:val="28"/>
        </w:rPr>
      </w:pPr>
    </w:p>
    <w:p w:rsidR="00CF63AB" w:rsidRPr="00CF63AB" w:rsidRDefault="00CF63AB" w:rsidP="00CF63AB">
      <w:pPr>
        <w:widowControl w:val="0"/>
        <w:overflowPunct w:val="0"/>
        <w:autoSpaceDE w:val="0"/>
        <w:autoSpaceDN w:val="0"/>
        <w:adjustRightInd w:val="0"/>
        <w:spacing w:after="0" w:line="240" w:lineRule="auto"/>
        <w:rPr>
          <w:rFonts w:ascii="Calibri" w:eastAsia="Times New Roman" w:hAnsi="Calibri" w:cs="Calibri"/>
          <w:kern w:val="28"/>
        </w:rPr>
      </w:pPr>
      <w:proofErr w:type="gramStart"/>
      <w:r w:rsidRPr="00CF63AB">
        <w:rPr>
          <w:rFonts w:ascii="Calibri" w:eastAsia="Times New Roman" w:hAnsi="Calibri" w:cs="Calibri"/>
          <w:kern w:val="28"/>
        </w:rPr>
        <w:t xml:space="preserve">Law, Cassel Bryan (2009) “Inside a Swiss Bank, Madoff Warnings,” </w:t>
      </w:r>
      <w:r w:rsidRPr="00CF63AB">
        <w:rPr>
          <w:rFonts w:ascii="Calibri" w:eastAsia="Times New Roman" w:hAnsi="Calibri" w:cs="Calibri"/>
          <w:i/>
          <w:iCs/>
          <w:kern w:val="28"/>
        </w:rPr>
        <w:t xml:space="preserve">Wall Street Journal, </w:t>
      </w:r>
      <w:r w:rsidRPr="00CF63AB">
        <w:rPr>
          <w:rFonts w:ascii="Calibri" w:eastAsia="Times New Roman" w:hAnsi="Calibri" w:cs="Calibri"/>
          <w:kern w:val="28"/>
        </w:rPr>
        <w:t>January 14, p. 1A.</w:t>
      </w:r>
      <w:proofErr w:type="gramEnd"/>
    </w:p>
    <w:p w:rsidR="00CF63AB" w:rsidRPr="00CF63AB" w:rsidRDefault="00CF63AB" w:rsidP="00CF63AB">
      <w:pPr>
        <w:widowControl w:val="0"/>
        <w:overflowPunct w:val="0"/>
        <w:autoSpaceDE w:val="0"/>
        <w:autoSpaceDN w:val="0"/>
        <w:adjustRightInd w:val="0"/>
        <w:spacing w:after="0" w:line="240" w:lineRule="auto"/>
        <w:rPr>
          <w:rFonts w:ascii="Calibri" w:eastAsia="Times New Roman" w:hAnsi="Calibri" w:cs="Calibri"/>
          <w:kern w:val="28"/>
        </w:rPr>
      </w:pPr>
    </w:p>
    <w:p w:rsidR="00CF63AB" w:rsidRPr="00CF63AB" w:rsidRDefault="00CF63AB" w:rsidP="00CF63AB">
      <w:pPr>
        <w:widowControl w:val="0"/>
        <w:overflowPunct w:val="0"/>
        <w:autoSpaceDE w:val="0"/>
        <w:autoSpaceDN w:val="0"/>
        <w:adjustRightInd w:val="0"/>
        <w:spacing w:after="0" w:line="240" w:lineRule="auto"/>
        <w:rPr>
          <w:rFonts w:ascii="Calibri" w:eastAsia="Times New Roman" w:hAnsi="Calibri" w:cs="Calibri"/>
          <w:kern w:val="28"/>
        </w:rPr>
      </w:pPr>
      <w:proofErr w:type="spellStart"/>
      <w:proofErr w:type="gramStart"/>
      <w:r w:rsidRPr="00CF63AB">
        <w:rPr>
          <w:rFonts w:ascii="Calibri" w:eastAsia="Times New Roman" w:hAnsi="Calibri" w:cs="Calibri"/>
          <w:kern w:val="28"/>
        </w:rPr>
        <w:t>Catan</w:t>
      </w:r>
      <w:proofErr w:type="spellEnd"/>
      <w:r w:rsidRPr="00CF63AB">
        <w:rPr>
          <w:rFonts w:ascii="Calibri" w:eastAsia="Times New Roman" w:hAnsi="Calibri" w:cs="Calibri"/>
          <w:kern w:val="28"/>
        </w:rPr>
        <w:t xml:space="preserve"> ,</w:t>
      </w:r>
      <w:proofErr w:type="gramEnd"/>
      <w:r w:rsidRPr="00CF63AB">
        <w:rPr>
          <w:rFonts w:ascii="Calibri" w:eastAsia="Times New Roman" w:hAnsi="Calibri" w:cs="Calibri"/>
          <w:kern w:val="28"/>
        </w:rPr>
        <w:t xml:space="preserve"> Thomas, Christopher Bjork and Jose De Cordoba (2009) “Giant Bank Probe Over Ties to Madoff,” </w:t>
      </w:r>
      <w:r w:rsidRPr="00CF63AB">
        <w:rPr>
          <w:rFonts w:ascii="Calibri" w:eastAsia="Times New Roman" w:hAnsi="Calibri" w:cs="Calibri"/>
          <w:i/>
          <w:iCs/>
          <w:kern w:val="28"/>
        </w:rPr>
        <w:t xml:space="preserve">Wall Street Journal, </w:t>
      </w:r>
      <w:r w:rsidRPr="00CF63AB">
        <w:rPr>
          <w:rFonts w:ascii="Calibri" w:eastAsia="Times New Roman" w:hAnsi="Calibri" w:cs="Calibri"/>
          <w:kern w:val="28"/>
        </w:rPr>
        <w:t>online.wsj.com/article/SB123179728255974859.html, accessed January 13, 2009.</w:t>
      </w:r>
    </w:p>
    <w:p w:rsidR="00CF63AB" w:rsidRPr="00CF63AB" w:rsidRDefault="00CF63AB" w:rsidP="00CF63AB">
      <w:pPr>
        <w:widowControl w:val="0"/>
        <w:overflowPunct w:val="0"/>
        <w:autoSpaceDE w:val="0"/>
        <w:autoSpaceDN w:val="0"/>
        <w:adjustRightInd w:val="0"/>
        <w:spacing w:after="0" w:line="240" w:lineRule="auto"/>
        <w:rPr>
          <w:rFonts w:ascii="Calibri" w:eastAsia="Times New Roman" w:hAnsi="Calibri" w:cs="Calibri"/>
          <w:kern w:val="28"/>
        </w:rPr>
      </w:pPr>
    </w:p>
    <w:p w:rsidR="00CF63AB" w:rsidRPr="00CF63AB" w:rsidRDefault="00CF63AB" w:rsidP="00CF63AB">
      <w:pPr>
        <w:widowControl w:val="0"/>
        <w:overflowPunct w:val="0"/>
        <w:autoSpaceDE w:val="0"/>
        <w:autoSpaceDN w:val="0"/>
        <w:adjustRightInd w:val="0"/>
        <w:spacing w:after="0" w:line="240" w:lineRule="auto"/>
        <w:rPr>
          <w:rFonts w:ascii="Calibri" w:eastAsia="Times New Roman" w:hAnsi="Calibri" w:cs="Calibri"/>
          <w:kern w:val="28"/>
        </w:rPr>
      </w:pPr>
      <w:proofErr w:type="spellStart"/>
      <w:r w:rsidRPr="00CF63AB">
        <w:rPr>
          <w:rFonts w:ascii="Calibri" w:eastAsia="Times New Roman" w:hAnsi="Calibri" w:cs="Calibri"/>
          <w:kern w:val="28"/>
        </w:rPr>
        <w:t>Efrati</w:t>
      </w:r>
      <w:proofErr w:type="spellEnd"/>
      <w:r w:rsidRPr="00CF63AB">
        <w:rPr>
          <w:rFonts w:ascii="Calibri" w:eastAsia="Times New Roman" w:hAnsi="Calibri" w:cs="Calibri"/>
          <w:kern w:val="28"/>
        </w:rPr>
        <w:t>, Emir (2009) “Q&amp;A on the Madoff Case,</w:t>
      </w:r>
      <w:proofErr w:type="gramStart"/>
      <w:r w:rsidRPr="00CF63AB">
        <w:rPr>
          <w:rFonts w:ascii="Calibri" w:eastAsia="Times New Roman" w:hAnsi="Calibri" w:cs="Calibri"/>
          <w:kern w:val="28"/>
        </w:rPr>
        <w:t xml:space="preserve">”  </w:t>
      </w:r>
      <w:r w:rsidRPr="00CF63AB">
        <w:rPr>
          <w:rFonts w:ascii="Calibri" w:eastAsia="Times New Roman" w:hAnsi="Calibri" w:cs="Calibri"/>
          <w:i/>
          <w:iCs/>
          <w:kern w:val="28"/>
        </w:rPr>
        <w:t>Wall</w:t>
      </w:r>
      <w:proofErr w:type="gramEnd"/>
      <w:r w:rsidRPr="00CF63AB">
        <w:rPr>
          <w:rFonts w:ascii="Calibri" w:eastAsia="Times New Roman" w:hAnsi="Calibri" w:cs="Calibri"/>
          <w:i/>
          <w:iCs/>
          <w:kern w:val="28"/>
        </w:rPr>
        <w:t xml:space="preserve"> Street Journal, </w:t>
      </w:r>
      <w:r w:rsidRPr="00CF63AB">
        <w:rPr>
          <w:rFonts w:ascii="Calibri" w:eastAsia="Times New Roman" w:hAnsi="Calibri" w:cs="Calibri"/>
          <w:kern w:val="28"/>
        </w:rPr>
        <w:t xml:space="preserve">online.wsj.com/articles/SB123005811322430633.html, accessed January 9, 2009. </w:t>
      </w:r>
    </w:p>
    <w:p w:rsidR="00CF63AB" w:rsidRPr="00CF63AB" w:rsidRDefault="00CF63AB" w:rsidP="00CF63AB">
      <w:pPr>
        <w:widowControl w:val="0"/>
        <w:overflowPunct w:val="0"/>
        <w:autoSpaceDE w:val="0"/>
        <w:autoSpaceDN w:val="0"/>
        <w:adjustRightInd w:val="0"/>
        <w:spacing w:after="0" w:line="240" w:lineRule="auto"/>
        <w:rPr>
          <w:rFonts w:ascii="Calibri" w:eastAsia="Times New Roman" w:hAnsi="Calibri" w:cs="Calibri"/>
          <w:kern w:val="28"/>
        </w:rPr>
      </w:pPr>
    </w:p>
    <w:p w:rsidR="00CF63AB" w:rsidRPr="00CF63AB" w:rsidRDefault="00CF63AB" w:rsidP="00CF63AB">
      <w:pPr>
        <w:widowControl w:val="0"/>
        <w:overflowPunct w:val="0"/>
        <w:autoSpaceDE w:val="0"/>
        <w:autoSpaceDN w:val="0"/>
        <w:adjustRightInd w:val="0"/>
        <w:spacing w:after="0" w:line="240" w:lineRule="auto"/>
        <w:rPr>
          <w:rFonts w:ascii="Calibri" w:eastAsia="Times New Roman" w:hAnsi="Calibri" w:cs="Calibri"/>
          <w:kern w:val="28"/>
        </w:rPr>
      </w:pPr>
      <w:proofErr w:type="spellStart"/>
      <w:proofErr w:type="gramStart"/>
      <w:r w:rsidRPr="00CF63AB">
        <w:rPr>
          <w:rFonts w:ascii="Calibri" w:eastAsia="Times New Roman" w:hAnsi="Calibri" w:cs="Calibri"/>
          <w:kern w:val="28"/>
        </w:rPr>
        <w:t>Efrati</w:t>
      </w:r>
      <w:proofErr w:type="spellEnd"/>
      <w:r w:rsidRPr="00CF63AB">
        <w:rPr>
          <w:rFonts w:ascii="Calibri" w:eastAsia="Times New Roman" w:hAnsi="Calibri" w:cs="Calibri"/>
          <w:kern w:val="28"/>
        </w:rPr>
        <w:t xml:space="preserve">, Amir (2008) “Scope of Alleged Fraud is Still Being Assessed,” </w:t>
      </w:r>
      <w:r w:rsidRPr="00CF63AB">
        <w:rPr>
          <w:rFonts w:ascii="Calibri" w:eastAsia="Times New Roman" w:hAnsi="Calibri" w:cs="Calibri"/>
          <w:i/>
          <w:iCs/>
          <w:kern w:val="28"/>
        </w:rPr>
        <w:t xml:space="preserve">Wall Street Journal, </w:t>
      </w:r>
      <w:r w:rsidRPr="00CF63AB">
        <w:rPr>
          <w:rFonts w:ascii="Calibri" w:eastAsia="Times New Roman" w:hAnsi="Calibri" w:cs="Calibri"/>
          <w:kern w:val="28"/>
        </w:rPr>
        <w:t>online.wsj.com/article/SB122953110854314501.html, accessed December 23, 2008.</w:t>
      </w:r>
      <w:proofErr w:type="gramEnd"/>
    </w:p>
    <w:p w:rsidR="00CF63AB" w:rsidRPr="00CF63AB" w:rsidRDefault="00CF63AB" w:rsidP="00CF63AB">
      <w:pPr>
        <w:widowControl w:val="0"/>
        <w:overflowPunct w:val="0"/>
        <w:autoSpaceDE w:val="0"/>
        <w:autoSpaceDN w:val="0"/>
        <w:adjustRightInd w:val="0"/>
        <w:spacing w:after="0" w:line="240" w:lineRule="auto"/>
        <w:rPr>
          <w:rFonts w:ascii="Calibri" w:eastAsia="Times New Roman" w:hAnsi="Calibri" w:cs="Calibri"/>
          <w:kern w:val="28"/>
        </w:rPr>
      </w:pPr>
    </w:p>
    <w:p w:rsidR="00CF63AB" w:rsidRPr="00CF63AB" w:rsidRDefault="00CF63AB" w:rsidP="00CF63AB">
      <w:pPr>
        <w:widowControl w:val="0"/>
        <w:overflowPunct w:val="0"/>
        <w:autoSpaceDE w:val="0"/>
        <w:autoSpaceDN w:val="0"/>
        <w:adjustRightInd w:val="0"/>
        <w:spacing w:after="0" w:line="240" w:lineRule="auto"/>
        <w:rPr>
          <w:rFonts w:ascii="Calibri" w:eastAsia="Times New Roman" w:hAnsi="Calibri" w:cs="Calibri"/>
          <w:kern w:val="28"/>
        </w:rPr>
      </w:pPr>
      <w:proofErr w:type="spellStart"/>
      <w:r w:rsidRPr="00CF63AB">
        <w:rPr>
          <w:rFonts w:ascii="Calibri" w:eastAsia="Times New Roman" w:hAnsi="Calibri" w:cs="Calibri"/>
          <w:kern w:val="28"/>
        </w:rPr>
        <w:t>Efrati</w:t>
      </w:r>
      <w:proofErr w:type="spellEnd"/>
      <w:r w:rsidRPr="00CF63AB">
        <w:rPr>
          <w:rFonts w:ascii="Calibri" w:eastAsia="Times New Roman" w:hAnsi="Calibri" w:cs="Calibri"/>
          <w:kern w:val="28"/>
        </w:rPr>
        <w:t xml:space="preserve">, Amir and Chad Bray (2009) “U.S.: Madoff Had $173 Million in Checks,” </w:t>
      </w:r>
      <w:r w:rsidRPr="00CF63AB">
        <w:rPr>
          <w:rFonts w:ascii="Calibri" w:eastAsia="Times New Roman" w:hAnsi="Calibri" w:cs="Calibri"/>
          <w:i/>
          <w:iCs/>
          <w:kern w:val="28"/>
        </w:rPr>
        <w:t xml:space="preserve">Wall Street Journal, </w:t>
      </w:r>
      <w:r w:rsidRPr="00CF63AB">
        <w:rPr>
          <w:rFonts w:ascii="Calibri" w:eastAsia="Times New Roman" w:hAnsi="Calibri" w:cs="Calibri"/>
          <w:kern w:val="28"/>
        </w:rPr>
        <w:t>online.wsj.com/article/SB123143634250464871.html, accessed January 9, 2009.</w:t>
      </w:r>
    </w:p>
    <w:p w:rsidR="00CF63AB" w:rsidRPr="00CF63AB" w:rsidRDefault="00CF63AB" w:rsidP="00CF63AB">
      <w:pPr>
        <w:widowControl w:val="0"/>
        <w:overflowPunct w:val="0"/>
        <w:autoSpaceDE w:val="0"/>
        <w:autoSpaceDN w:val="0"/>
        <w:adjustRightInd w:val="0"/>
        <w:spacing w:after="0" w:line="240" w:lineRule="auto"/>
        <w:rPr>
          <w:rFonts w:ascii="Calibri" w:eastAsia="Times New Roman" w:hAnsi="Calibri" w:cs="Calibri"/>
          <w:b/>
          <w:bCs/>
          <w:kern w:val="28"/>
        </w:rPr>
      </w:pPr>
    </w:p>
    <w:p w:rsidR="00CF63AB" w:rsidRPr="00CF63AB" w:rsidRDefault="00CF63AB" w:rsidP="00CF63AB">
      <w:pPr>
        <w:widowControl w:val="0"/>
        <w:overflowPunct w:val="0"/>
        <w:autoSpaceDE w:val="0"/>
        <w:autoSpaceDN w:val="0"/>
        <w:adjustRightInd w:val="0"/>
        <w:spacing w:after="0" w:line="240" w:lineRule="auto"/>
        <w:rPr>
          <w:rFonts w:ascii="Calibri" w:eastAsia="Times New Roman" w:hAnsi="Calibri" w:cs="Calibri"/>
          <w:kern w:val="28"/>
        </w:rPr>
      </w:pPr>
      <w:proofErr w:type="spellStart"/>
      <w:proofErr w:type="gramStart"/>
      <w:r w:rsidRPr="00CF63AB">
        <w:rPr>
          <w:rFonts w:ascii="Calibri" w:eastAsia="Times New Roman" w:hAnsi="Calibri" w:cs="Calibri"/>
          <w:kern w:val="28"/>
        </w:rPr>
        <w:t>Efrati</w:t>
      </w:r>
      <w:proofErr w:type="spellEnd"/>
      <w:r w:rsidRPr="00CF63AB">
        <w:rPr>
          <w:rFonts w:ascii="Calibri" w:eastAsia="Times New Roman" w:hAnsi="Calibri" w:cs="Calibri"/>
          <w:kern w:val="28"/>
        </w:rPr>
        <w:t xml:space="preserve">, Amir, Aaron </w:t>
      </w:r>
      <w:proofErr w:type="spellStart"/>
      <w:r w:rsidRPr="00CF63AB">
        <w:rPr>
          <w:rFonts w:ascii="Calibri" w:eastAsia="Times New Roman" w:hAnsi="Calibri" w:cs="Calibri"/>
          <w:kern w:val="28"/>
        </w:rPr>
        <w:t>Luccchetti</w:t>
      </w:r>
      <w:proofErr w:type="spellEnd"/>
      <w:r w:rsidRPr="00CF63AB">
        <w:rPr>
          <w:rFonts w:ascii="Calibri" w:eastAsia="Times New Roman" w:hAnsi="Calibri" w:cs="Calibri"/>
          <w:kern w:val="28"/>
        </w:rPr>
        <w:t xml:space="preserve"> and Tom </w:t>
      </w:r>
      <w:proofErr w:type="spellStart"/>
      <w:r w:rsidRPr="00CF63AB">
        <w:rPr>
          <w:rFonts w:ascii="Calibri" w:eastAsia="Times New Roman" w:hAnsi="Calibri" w:cs="Calibri"/>
          <w:kern w:val="28"/>
        </w:rPr>
        <w:t>Lauricella</w:t>
      </w:r>
      <w:proofErr w:type="spellEnd"/>
      <w:r w:rsidRPr="00CF63AB">
        <w:rPr>
          <w:rFonts w:ascii="Calibri" w:eastAsia="Times New Roman" w:hAnsi="Calibri" w:cs="Calibri"/>
          <w:kern w:val="28"/>
        </w:rPr>
        <w:t xml:space="preserve"> (2008) “Probe Eyes Audit Files, Role of Aide to Madoff,” </w:t>
      </w:r>
      <w:r w:rsidRPr="00CF63AB">
        <w:rPr>
          <w:rFonts w:ascii="Calibri" w:eastAsia="Times New Roman" w:hAnsi="Calibri" w:cs="Calibri"/>
          <w:i/>
          <w:iCs/>
          <w:kern w:val="28"/>
        </w:rPr>
        <w:t xml:space="preserve">Wall Street Journal, </w:t>
      </w:r>
      <w:r w:rsidRPr="00CF63AB">
        <w:rPr>
          <w:rFonts w:ascii="Calibri" w:eastAsia="Times New Roman" w:hAnsi="Calibri" w:cs="Calibri"/>
          <w:kern w:val="28"/>
        </w:rPr>
        <w:t>online.wsj.com/article/SB122999256957528605.html, accessed December 23, 2008.</w:t>
      </w:r>
      <w:proofErr w:type="gramEnd"/>
    </w:p>
    <w:p w:rsidR="00CF63AB" w:rsidRPr="00CF63AB" w:rsidRDefault="00CF63AB" w:rsidP="00CF63AB">
      <w:pPr>
        <w:widowControl w:val="0"/>
        <w:overflowPunct w:val="0"/>
        <w:autoSpaceDE w:val="0"/>
        <w:autoSpaceDN w:val="0"/>
        <w:adjustRightInd w:val="0"/>
        <w:spacing w:after="0" w:line="240" w:lineRule="auto"/>
        <w:rPr>
          <w:rFonts w:ascii="Calibri" w:eastAsia="Times New Roman" w:hAnsi="Calibri" w:cs="Calibri"/>
          <w:kern w:val="28"/>
        </w:rPr>
      </w:pPr>
    </w:p>
    <w:p w:rsidR="00CF63AB" w:rsidRPr="00CF63AB" w:rsidRDefault="00CF63AB" w:rsidP="00CF63AB">
      <w:pPr>
        <w:widowControl w:val="0"/>
        <w:overflowPunct w:val="0"/>
        <w:autoSpaceDE w:val="0"/>
        <w:autoSpaceDN w:val="0"/>
        <w:adjustRightInd w:val="0"/>
        <w:spacing w:after="0" w:line="240" w:lineRule="auto"/>
        <w:rPr>
          <w:rFonts w:ascii="Calibri" w:eastAsia="Times New Roman" w:hAnsi="Calibri" w:cs="Calibri"/>
          <w:kern w:val="28"/>
        </w:rPr>
      </w:pPr>
      <w:r w:rsidRPr="00CF63AB">
        <w:rPr>
          <w:rFonts w:ascii="Calibri" w:eastAsia="Times New Roman" w:hAnsi="Calibri" w:cs="Calibri"/>
          <w:kern w:val="28"/>
        </w:rPr>
        <w:t xml:space="preserve">Frank, Robert and Amir </w:t>
      </w:r>
      <w:proofErr w:type="spellStart"/>
      <w:r w:rsidRPr="00CF63AB">
        <w:rPr>
          <w:rFonts w:ascii="Calibri" w:eastAsia="Times New Roman" w:hAnsi="Calibri" w:cs="Calibri"/>
          <w:kern w:val="28"/>
        </w:rPr>
        <w:t>Efrati</w:t>
      </w:r>
      <w:proofErr w:type="spellEnd"/>
      <w:r w:rsidRPr="00CF63AB">
        <w:rPr>
          <w:rFonts w:ascii="Calibri" w:eastAsia="Times New Roman" w:hAnsi="Calibri" w:cs="Calibri"/>
          <w:kern w:val="28"/>
        </w:rPr>
        <w:t xml:space="preserve"> (2009) “Madoff Tried to Stave Off Firm’s Crash Before Arrest,” </w:t>
      </w:r>
      <w:r w:rsidRPr="00CF63AB">
        <w:rPr>
          <w:rFonts w:ascii="Calibri" w:eastAsia="Times New Roman" w:hAnsi="Calibri" w:cs="Calibri"/>
          <w:i/>
          <w:iCs/>
          <w:kern w:val="28"/>
        </w:rPr>
        <w:t xml:space="preserve">Wall Street Journal, </w:t>
      </w:r>
      <w:r w:rsidRPr="00CF63AB">
        <w:rPr>
          <w:rFonts w:ascii="Calibri" w:eastAsia="Times New Roman" w:hAnsi="Calibri" w:cs="Calibri"/>
          <w:kern w:val="28"/>
        </w:rPr>
        <w:t>online.wsj.com/article/SB123129835145559987.html, accessed January 7, 2009.</w:t>
      </w:r>
    </w:p>
    <w:p w:rsidR="00CF63AB" w:rsidRPr="00CF63AB" w:rsidRDefault="00CF63AB" w:rsidP="00CF63AB">
      <w:pPr>
        <w:widowControl w:val="0"/>
        <w:overflowPunct w:val="0"/>
        <w:autoSpaceDE w:val="0"/>
        <w:autoSpaceDN w:val="0"/>
        <w:adjustRightInd w:val="0"/>
        <w:spacing w:after="0" w:line="240" w:lineRule="auto"/>
        <w:rPr>
          <w:rFonts w:ascii="Calibri" w:eastAsia="Times New Roman" w:hAnsi="Calibri" w:cs="Calibri"/>
          <w:b/>
          <w:bCs/>
          <w:kern w:val="28"/>
        </w:rPr>
      </w:pPr>
    </w:p>
    <w:p w:rsidR="00CF63AB" w:rsidRPr="00CF63AB" w:rsidRDefault="00CF63AB" w:rsidP="00CF63AB">
      <w:pPr>
        <w:widowControl w:val="0"/>
        <w:overflowPunct w:val="0"/>
        <w:autoSpaceDE w:val="0"/>
        <w:autoSpaceDN w:val="0"/>
        <w:adjustRightInd w:val="0"/>
        <w:spacing w:after="0" w:line="240" w:lineRule="auto"/>
        <w:rPr>
          <w:rFonts w:ascii="Calibri" w:eastAsia="Times New Roman" w:hAnsi="Calibri" w:cs="Calibri"/>
          <w:kern w:val="28"/>
        </w:rPr>
      </w:pPr>
      <w:r w:rsidRPr="00CF63AB">
        <w:rPr>
          <w:rFonts w:ascii="Calibri" w:eastAsia="Times New Roman" w:hAnsi="Calibri" w:cs="Calibri"/>
          <w:kern w:val="28"/>
        </w:rPr>
        <w:t xml:space="preserve">Frank, Robert and Tom </w:t>
      </w:r>
      <w:proofErr w:type="spellStart"/>
      <w:r w:rsidRPr="00CF63AB">
        <w:rPr>
          <w:rFonts w:ascii="Calibri" w:eastAsia="Times New Roman" w:hAnsi="Calibri" w:cs="Calibri"/>
          <w:kern w:val="28"/>
        </w:rPr>
        <w:t>Lauricella</w:t>
      </w:r>
      <w:proofErr w:type="spellEnd"/>
      <w:r w:rsidRPr="00CF63AB">
        <w:rPr>
          <w:rFonts w:ascii="Calibri" w:eastAsia="Times New Roman" w:hAnsi="Calibri" w:cs="Calibri"/>
          <w:kern w:val="28"/>
        </w:rPr>
        <w:t xml:space="preserve"> (2008) “Madoff Created Air of Mystery,” </w:t>
      </w:r>
      <w:r w:rsidRPr="00CF63AB">
        <w:rPr>
          <w:rFonts w:ascii="Calibri" w:eastAsia="Times New Roman" w:hAnsi="Calibri" w:cs="Calibri"/>
          <w:i/>
          <w:iCs/>
          <w:kern w:val="28"/>
        </w:rPr>
        <w:t xml:space="preserve">Wall Street Journal, </w:t>
      </w:r>
      <w:r w:rsidRPr="00CF63AB">
        <w:rPr>
          <w:rFonts w:ascii="Calibri" w:eastAsia="Times New Roman" w:hAnsi="Calibri" w:cs="Calibri"/>
          <w:kern w:val="28"/>
        </w:rPr>
        <w:t>online.wsj.com/article/SB122973208705022949.html, accessed December 23, 2008.</w:t>
      </w:r>
    </w:p>
    <w:p w:rsidR="00CF63AB" w:rsidRPr="00CF63AB" w:rsidRDefault="00CF63AB" w:rsidP="00CF63AB">
      <w:pPr>
        <w:widowControl w:val="0"/>
        <w:overflowPunct w:val="0"/>
        <w:autoSpaceDE w:val="0"/>
        <w:autoSpaceDN w:val="0"/>
        <w:adjustRightInd w:val="0"/>
        <w:spacing w:after="0" w:line="240" w:lineRule="auto"/>
        <w:rPr>
          <w:rFonts w:ascii="Calibri" w:eastAsia="Times New Roman" w:hAnsi="Calibri" w:cs="Calibri"/>
          <w:kern w:val="28"/>
        </w:rPr>
      </w:pPr>
    </w:p>
    <w:p w:rsidR="00CF63AB" w:rsidRPr="00CF63AB" w:rsidRDefault="00CF63AB" w:rsidP="00CF63AB">
      <w:pPr>
        <w:widowControl w:val="0"/>
        <w:overflowPunct w:val="0"/>
        <w:autoSpaceDE w:val="0"/>
        <w:autoSpaceDN w:val="0"/>
        <w:adjustRightInd w:val="0"/>
        <w:spacing w:after="0" w:line="240" w:lineRule="auto"/>
        <w:rPr>
          <w:rFonts w:ascii="Calibri" w:eastAsia="Times New Roman" w:hAnsi="Calibri" w:cs="Calibri"/>
          <w:kern w:val="28"/>
        </w:rPr>
      </w:pPr>
      <w:proofErr w:type="spellStart"/>
      <w:r w:rsidRPr="00CF63AB">
        <w:rPr>
          <w:rFonts w:ascii="Calibri" w:eastAsia="Times New Roman" w:hAnsi="Calibri" w:cs="Calibri"/>
          <w:kern w:val="28"/>
        </w:rPr>
        <w:t>Scannell</w:t>
      </w:r>
      <w:proofErr w:type="spellEnd"/>
      <w:r w:rsidRPr="00CF63AB">
        <w:rPr>
          <w:rFonts w:ascii="Calibri" w:eastAsia="Times New Roman" w:hAnsi="Calibri" w:cs="Calibri"/>
          <w:kern w:val="28"/>
        </w:rPr>
        <w:t xml:space="preserve">, Kara (2008) “Investor Who Lost Money in Alleged Scheme Seeks Relief from SEC, </w:t>
      </w:r>
      <w:proofErr w:type="gramStart"/>
      <w:r w:rsidRPr="00CF63AB">
        <w:rPr>
          <w:rFonts w:ascii="Calibri" w:eastAsia="Times New Roman" w:hAnsi="Calibri" w:cs="Calibri"/>
          <w:kern w:val="28"/>
        </w:rPr>
        <w:t xml:space="preserve">“ </w:t>
      </w:r>
      <w:r w:rsidRPr="00CF63AB">
        <w:rPr>
          <w:rFonts w:ascii="Calibri" w:eastAsia="Times New Roman" w:hAnsi="Calibri" w:cs="Calibri"/>
          <w:i/>
          <w:iCs/>
          <w:kern w:val="28"/>
        </w:rPr>
        <w:t>Wall</w:t>
      </w:r>
      <w:proofErr w:type="gramEnd"/>
      <w:r w:rsidRPr="00CF63AB">
        <w:rPr>
          <w:rFonts w:ascii="Calibri" w:eastAsia="Times New Roman" w:hAnsi="Calibri" w:cs="Calibri"/>
          <w:i/>
          <w:iCs/>
          <w:kern w:val="28"/>
        </w:rPr>
        <w:t xml:space="preserve"> Street Journal, </w:t>
      </w:r>
      <w:r w:rsidRPr="00CF63AB">
        <w:rPr>
          <w:rFonts w:ascii="Calibri" w:eastAsia="Times New Roman" w:hAnsi="Calibri" w:cs="Calibri"/>
          <w:kern w:val="28"/>
        </w:rPr>
        <w:t>online.wsj.com/article/SB122999646876429063.html</w:t>
      </w:r>
    </w:p>
    <w:p w:rsidR="00CF63AB" w:rsidRPr="00CF63AB" w:rsidRDefault="00CF63AB" w:rsidP="00CF63AB">
      <w:pPr>
        <w:widowControl w:val="0"/>
        <w:overflowPunct w:val="0"/>
        <w:autoSpaceDE w:val="0"/>
        <w:autoSpaceDN w:val="0"/>
        <w:adjustRightInd w:val="0"/>
        <w:spacing w:after="0" w:line="240" w:lineRule="auto"/>
        <w:rPr>
          <w:rFonts w:ascii="Calibri" w:eastAsia="Times New Roman" w:hAnsi="Calibri" w:cs="Calibri"/>
          <w:kern w:val="28"/>
        </w:rPr>
      </w:pPr>
    </w:p>
    <w:p w:rsidR="00CF63AB" w:rsidRPr="00CF63AB" w:rsidRDefault="00CF63AB" w:rsidP="00CF63AB">
      <w:pPr>
        <w:widowControl w:val="0"/>
        <w:overflowPunct w:val="0"/>
        <w:autoSpaceDE w:val="0"/>
        <w:autoSpaceDN w:val="0"/>
        <w:adjustRightInd w:val="0"/>
        <w:spacing w:after="0" w:line="240" w:lineRule="auto"/>
        <w:rPr>
          <w:rFonts w:ascii="Calibri" w:eastAsia="Times New Roman" w:hAnsi="Calibri" w:cs="Calibri"/>
          <w:kern w:val="28"/>
        </w:rPr>
      </w:pPr>
      <w:r w:rsidRPr="00CF63AB">
        <w:rPr>
          <w:rFonts w:ascii="Calibri" w:eastAsia="Times New Roman" w:hAnsi="Calibri" w:cs="Calibri"/>
          <w:kern w:val="28"/>
        </w:rPr>
        <w:t>Kim, Jane J. (2009) “As ‘</w:t>
      </w:r>
      <w:proofErr w:type="spellStart"/>
      <w:r w:rsidRPr="00CF63AB">
        <w:rPr>
          <w:rFonts w:ascii="Calibri" w:eastAsia="Times New Roman" w:hAnsi="Calibri" w:cs="Calibri"/>
          <w:kern w:val="28"/>
        </w:rPr>
        <w:t>Clawback</w:t>
      </w:r>
      <w:proofErr w:type="spellEnd"/>
      <w:r w:rsidRPr="00CF63AB">
        <w:rPr>
          <w:rFonts w:ascii="Calibri" w:eastAsia="Times New Roman" w:hAnsi="Calibri" w:cs="Calibri"/>
          <w:kern w:val="28"/>
        </w:rPr>
        <w:t xml:space="preserve">’ Suits Loom, Some Investors Seek Cover,” </w:t>
      </w:r>
      <w:r w:rsidRPr="00CF63AB">
        <w:rPr>
          <w:rFonts w:ascii="Calibri" w:eastAsia="Times New Roman" w:hAnsi="Calibri" w:cs="Calibri"/>
          <w:i/>
          <w:iCs/>
          <w:kern w:val="28"/>
        </w:rPr>
        <w:t xml:space="preserve">Wall Street Journal, </w:t>
      </w:r>
      <w:r w:rsidRPr="00CF63AB">
        <w:rPr>
          <w:rFonts w:ascii="Calibri" w:eastAsia="Times New Roman" w:hAnsi="Calibri" w:cs="Calibri"/>
          <w:kern w:val="28"/>
        </w:rPr>
        <w:t>March 12, p. C3.</w:t>
      </w:r>
    </w:p>
    <w:p w:rsidR="00CF63AB" w:rsidRPr="00CF63AB" w:rsidRDefault="00CF63AB" w:rsidP="00CF63AB">
      <w:pPr>
        <w:widowControl w:val="0"/>
        <w:overflowPunct w:val="0"/>
        <w:autoSpaceDE w:val="0"/>
        <w:autoSpaceDN w:val="0"/>
        <w:adjustRightInd w:val="0"/>
        <w:spacing w:after="0" w:line="240" w:lineRule="auto"/>
        <w:rPr>
          <w:rFonts w:ascii="Calibri" w:eastAsia="Times New Roman" w:hAnsi="Calibri" w:cs="Calibri"/>
          <w:kern w:val="28"/>
        </w:rPr>
      </w:pPr>
    </w:p>
    <w:p w:rsidR="00CF63AB" w:rsidRPr="00CF63AB" w:rsidRDefault="00CF63AB" w:rsidP="00CF63AB">
      <w:pPr>
        <w:widowControl w:val="0"/>
        <w:overflowPunct w:val="0"/>
        <w:autoSpaceDE w:val="0"/>
        <w:autoSpaceDN w:val="0"/>
        <w:adjustRightInd w:val="0"/>
        <w:spacing w:after="0" w:line="240" w:lineRule="auto"/>
        <w:rPr>
          <w:rFonts w:ascii="Calibri" w:eastAsia="Times New Roman" w:hAnsi="Calibri" w:cs="Calibri"/>
          <w:kern w:val="28"/>
        </w:rPr>
      </w:pPr>
      <w:proofErr w:type="spellStart"/>
      <w:r w:rsidRPr="00CF63AB">
        <w:rPr>
          <w:rFonts w:ascii="Calibri" w:eastAsia="Times New Roman" w:hAnsi="Calibri" w:cs="Calibri"/>
          <w:kern w:val="28"/>
        </w:rPr>
        <w:t>Lucchetti</w:t>
      </w:r>
      <w:proofErr w:type="spellEnd"/>
      <w:r w:rsidRPr="00CF63AB">
        <w:rPr>
          <w:rFonts w:ascii="Calibri" w:eastAsia="Times New Roman" w:hAnsi="Calibri" w:cs="Calibri"/>
          <w:kern w:val="28"/>
        </w:rPr>
        <w:t xml:space="preserve">, Aaron (2009) “Victims Welcome Madoff Imprisonment,” </w:t>
      </w:r>
      <w:r w:rsidRPr="00CF63AB">
        <w:rPr>
          <w:rFonts w:ascii="Calibri" w:eastAsia="Times New Roman" w:hAnsi="Calibri" w:cs="Calibri"/>
          <w:i/>
          <w:iCs/>
          <w:kern w:val="28"/>
        </w:rPr>
        <w:t xml:space="preserve">Wall Street Journal, </w:t>
      </w:r>
      <w:r w:rsidRPr="00CF63AB">
        <w:rPr>
          <w:rFonts w:ascii="Calibri" w:eastAsia="Times New Roman" w:hAnsi="Calibri" w:cs="Calibri"/>
          <w:kern w:val="28"/>
        </w:rPr>
        <w:t xml:space="preserve">March 12, </w:t>
      </w:r>
      <w:hyperlink r:id="rId7" w:history="1">
        <w:r w:rsidRPr="00CF63AB">
          <w:rPr>
            <w:rFonts w:ascii="Calibri" w:eastAsia="Times New Roman" w:hAnsi="Calibri" w:cs="Calibri"/>
            <w:i/>
            <w:iCs/>
            <w:color w:val="0000FF"/>
            <w:kern w:val="28"/>
            <w:u w:val="single"/>
          </w:rPr>
          <w:t>http://online.wsj.com/article/SB123687992688609801.html</w:t>
        </w:r>
      </w:hyperlink>
      <w:r w:rsidRPr="00CF63AB">
        <w:rPr>
          <w:rFonts w:ascii="Calibri" w:eastAsia="Times New Roman" w:hAnsi="Calibri" w:cs="Calibri"/>
          <w:i/>
          <w:iCs/>
          <w:kern w:val="28"/>
        </w:rPr>
        <w:t xml:space="preserve">, </w:t>
      </w:r>
      <w:r w:rsidRPr="00CF63AB">
        <w:rPr>
          <w:rFonts w:ascii="Calibri" w:eastAsia="Times New Roman" w:hAnsi="Calibri" w:cs="Calibri"/>
          <w:kern w:val="28"/>
        </w:rPr>
        <w:t>accessed March 12, 2009.</w:t>
      </w:r>
    </w:p>
    <w:p w:rsidR="00CF63AB" w:rsidRPr="00CF63AB" w:rsidRDefault="00CF63AB" w:rsidP="00CF63AB">
      <w:pPr>
        <w:widowControl w:val="0"/>
        <w:overflowPunct w:val="0"/>
        <w:autoSpaceDE w:val="0"/>
        <w:autoSpaceDN w:val="0"/>
        <w:adjustRightInd w:val="0"/>
        <w:spacing w:after="0" w:line="240" w:lineRule="auto"/>
        <w:rPr>
          <w:rFonts w:ascii="Calibri" w:eastAsia="Times New Roman" w:hAnsi="Calibri" w:cs="Calibri"/>
          <w:kern w:val="28"/>
        </w:rPr>
      </w:pPr>
    </w:p>
    <w:p w:rsidR="00CF63AB" w:rsidRPr="00CF63AB" w:rsidRDefault="00CF63AB" w:rsidP="00CF63AB">
      <w:pPr>
        <w:widowControl w:val="0"/>
        <w:overflowPunct w:val="0"/>
        <w:autoSpaceDE w:val="0"/>
        <w:autoSpaceDN w:val="0"/>
        <w:adjustRightInd w:val="0"/>
        <w:spacing w:after="0" w:line="240" w:lineRule="auto"/>
        <w:rPr>
          <w:rFonts w:ascii="Calibri" w:eastAsia="Times New Roman" w:hAnsi="Calibri" w:cs="Calibri"/>
          <w:kern w:val="28"/>
        </w:rPr>
      </w:pPr>
      <w:proofErr w:type="gramStart"/>
      <w:r w:rsidRPr="00CF63AB">
        <w:rPr>
          <w:rFonts w:ascii="Calibri" w:eastAsia="Times New Roman" w:hAnsi="Calibri" w:cs="Calibri"/>
          <w:kern w:val="28"/>
        </w:rPr>
        <w:t xml:space="preserve">Strasburg, Jenny (2008) “Madoff ‘Feeders’ Under Focus,” </w:t>
      </w:r>
      <w:r w:rsidRPr="00CF63AB">
        <w:rPr>
          <w:rFonts w:ascii="Calibri" w:eastAsia="Times New Roman" w:hAnsi="Calibri" w:cs="Calibri"/>
          <w:i/>
          <w:iCs/>
          <w:kern w:val="28"/>
        </w:rPr>
        <w:t xml:space="preserve">Wall Street Journal, </w:t>
      </w:r>
      <w:r w:rsidRPr="00CF63AB">
        <w:rPr>
          <w:rFonts w:ascii="Calibri" w:eastAsia="Times New Roman" w:hAnsi="Calibri" w:cs="Calibri"/>
          <w:kern w:val="28"/>
        </w:rPr>
        <w:t xml:space="preserve">December 27-28, </w:t>
      </w:r>
      <w:proofErr w:type="spellStart"/>
      <w:r w:rsidRPr="00CF63AB">
        <w:rPr>
          <w:rFonts w:ascii="Calibri" w:eastAsia="Times New Roman" w:hAnsi="Calibri" w:cs="Calibri"/>
          <w:kern w:val="28"/>
        </w:rPr>
        <w:t>pp</w:t>
      </w:r>
      <w:proofErr w:type="spellEnd"/>
      <w:r w:rsidRPr="00CF63AB">
        <w:rPr>
          <w:rFonts w:ascii="Calibri" w:eastAsia="Times New Roman" w:hAnsi="Calibri" w:cs="Calibri"/>
          <w:kern w:val="28"/>
        </w:rPr>
        <w:t xml:space="preserve"> A1, A8.</w:t>
      </w:r>
      <w:proofErr w:type="gramEnd"/>
    </w:p>
    <w:p w:rsidR="00CF63AB" w:rsidRPr="00CF63AB" w:rsidRDefault="00CF63AB" w:rsidP="00CF63AB">
      <w:pPr>
        <w:widowControl w:val="0"/>
        <w:overflowPunct w:val="0"/>
        <w:autoSpaceDE w:val="0"/>
        <w:autoSpaceDN w:val="0"/>
        <w:adjustRightInd w:val="0"/>
        <w:spacing w:after="0" w:line="240" w:lineRule="auto"/>
        <w:rPr>
          <w:rFonts w:ascii="Calibri" w:eastAsia="Times New Roman" w:hAnsi="Calibri" w:cs="Calibri"/>
          <w:kern w:val="28"/>
        </w:rPr>
      </w:pPr>
    </w:p>
    <w:p w:rsidR="00CF63AB" w:rsidRPr="00CF63AB" w:rsidRDefault="00CF63AB" w:rsidP="00CF63AB">
      <w:pPr>
        <w:widowControl w:val="0"/>
        <w:overflowPunct w:val="0"/>
        <w:autoSpaceDE w:val="0"/>
        <w:autoSpaceDN w:val="0"/>
        <w:adjustRightInd w:val="0"/>
        <w:spacing w:after="0" w:line="240" w:lineRule="auto"/>
        <w:rPr>
          <w:rFonts w:ascii="Calibri" w:eastAsia="Times New Roman" w:hAnsi="Calibri" w:cs="Calibri"/>
          <w:kern w:val="28"/>
        </w:rPr>
      </w:pPr>
      <w:r w:rsidRPr="00CF63AB">
        <w:rPr>
          <w:rFonts w:ascii="Calibri" w:eastAsia="Times New Roman" w:hAnsi="Calibri" w:cs="Calibri"/>
          <w:kern w:val="28"/>
        </w:rPr>
        <w:t>Strasburg, Jenny (2008) “Mass Mutual Burned by Madoff,” Wall Street Journal, December 22, p. C1.</w:t>
      </w:r>
    </w:p>
    <w:p w:rsidR="00CF63AB" w:rsidRPr="00CF63AB" w:rsidRDefault="00CF63AB" w:rsidP="00CF63AB">
      <w:pPr>
        <w:widowControl w:val="0"/>
        <w:overflowPunct w:val="0"/>
        <w:autoSpaceDE w:val="0"/>
        <w:autoSpaceDN w:val="0"/>
        <w:adjustRightInd w:val="0"/>
        <w:spacing w:after="0" w:line="240" w:lineRule="auto"/>
        <w:rPr>
          <w:rFonts w:ascii="Calibri" w:eastAsia="Times New Roman" w:hAnsi="Calibri" w:cs="Calibri"/>
          <w:kern w:val="28"/>
        </w:rPr>
      </w:pPr>
    </w:p>
    <w:p w:rsidR="00CF63AB" w:rsidRPr="00CF63AB" w:rsidRDefault="00CF63AB" w:rsidP="00CF63AB">
      <w:pPr>
        <w:widowControl w:val="0"/>
        <w:overflowPunct w:val="0"/>
        <w:autoSpaceDE w:val="0"/>
        <w:autoSpaceDN w:val="0"/>
        <w:adjustRightInd w:val="0"/>
        <w:spacing w:after="0" w:line="240" w:lineRule="auto"/>
        <w:rPr>
          <w:rFonts w:ascii="Calibri" w:eastAsia="Times New Roman" w:hAnsi="Calibri" w:cs="Calibri"/>
          <w:kern w:val="28"/>
        </w:rPr>
      </w:pPr>
      <w:r w:rsidRPr="00CF63AB">
        <w:rPr>
          <w:rFonts w:ascii="Calibri" w:eastAsia="Times New Roman" w:hAnsi="Calibri" w:cs="Calibri"/>
          <w:kern w:val="28"/>
        </w:rPr>
        <w:t xml:space="preserve"> </w:t>
      </w:r>
      <w:proofErr w:type="spellStart"/>
      <w:r w:rsidRPr="00CF63AB">
        <w:rPr>
          <w:rFonts w:ascii="Calibri" w:eastAsia="Times New Roman" w:hAnsi="Calibri" w:cs="Calibri"/>
          <w:kern w:val="28"/>
        </w:rPr>
        <w:t>Trex</w:t>
      </w:r>
      <w:proofErr w:type="spellEnd"/>
      <w:r w:rsidRPr="00CF63AB">
        <w:rPr>
          <w:rFonts w:ascii="Calibri" w:eastAsia="Times New Roman" w:hAnsi="Calibri" w:cs="Calibri"/>
          <w:kern w:val="28"/>
        </w:rPr>
        <w:t xml:space="preserve">, Ethan (2008) “Who Was Ponzi—What the Heck Was His Scheme?” </w:t>
      </w:r>
      <w:r w:rsidRPr="00CF63AB">
        <w:rPr>
          <w:rFonts w:ascii="Calibri" w:eastAsia="Times New Roman" w:hAnsi="Calibri" w:cs="Calibri"/>
          <w:i/>
          <w:iCs/>
          <w:kern w:val="28"/>
        </w:rPr>
        <w:t xml:space="preserve">cnn.com, </w:t>
      </w:r>
      <w:r w:rsidRPr="00CF63AB">
        <w:rPr>
          <w:rFonts w:ascii="Calibri" w:eastAsia="Times New Roman" w:hAnsi="Calibri" w:cs="Calibri"/>
          <w:kern w:val="28"/>
        </w:rPr>
        <w:t xml:space="preserve">http://www.cnn.com/2008/LIVING/wayoflife/12/23/mf.ponzi.scheme/index.html, accessed December 23, 2008. </w:t>
      </w:r>
    </w:p>
    <w:p w:rsidR="00CF63AB" w:rsidRPr="00CF63AB" w:rsidRDefault="00CF63AB" w:rsidP="00CF63AB">
      <w:pPr>
        <w:widowControl w:val="0"/>
        <w:overflowPunct w:val="0"/>
        <w:autoSpaceDE w:val="0"/>
        <w:autoSpaceDN w:val="0"/>
        <w:adjustRightInd w:val="0"/>
        <w:spacing w:after="0" w:line="240" w:lineRule="auto"/>
        <w:rPr>
          <w:rFonts w:ascii="Calibri" w:eastAsia="Times New Roman" w:hAnsi="Calibri" w:cs="Calibri"/>
          <w:kern w:val="28"/>
        </w:rPr>
      </w:pPr>
    </w:p>
    <w:p w:rsidR="00CF63AB" w:rsidRPr="00CF63AB" w:rsidRDefault="00CF63AB" w:rsidP="00CF63AB">
      <w:pPr>
        <w:widowControl w:val="0"/>
        <w:overflowPunct w:val="0"/>
        <w:autoSpaceDE w:val="0"/>
        <w:autoSpaceDN w:val="0"/>
        <w:adjustRightInd w:val="0"/>
        <w:spacing w:after="0" w:line="240" w:lineRule="auto"/>
        <w:rPr>
          <w:rFonts w:ascii="Calibri" w:eastAsia="Times New Roman" w:hAnsi="Calibri" w:cs="Calibri"/>
          <w:kern w:val="28"/>
        </w:rPr>
      </w:pPr>
      <w:r w:rsidRPr="00CF63AB">
        <w:rPr>
          <w:rFonts w:ascii="Calibri" w:eastAsia="Times New Roman" w:hAnsi="Calibri" w:cs="Calibri"/>
          <w:kern w:val="28"/>
        </w:rPr>
        <w:t xml:space="preserve">Elizabeth Williamson (2008) “Shana Madoff’s Ties to Uncle Probed,” </w:t>
      </w:r>
      <w:r w:rsidRPr="00CF63AB">
        <w:rPr>
          <w:rFonts w:ascii="Calibri" w:eastAsia="Times New Roman" w:hAnsi="Calibri" w:cs="Calibri"/>
          <w:i/>
          <w:iCs/>
          <w:kern w:val="28"/>
        </w:rPr>
        <w:t xml:space="preserve">Wall Street Journal, </w:t>
      </w:r>
      <w:r w:rsidRPr="00CF63AB">
        <w:rPr>
          <w:rFonts w:ascii="Calibri" w:eastAsia="Times New Roman" w:hAnsi="Calibri" w:cs="Calibri"/>
          <w:kern w:val="28"/>
        </w:rPr>
        <w:t>onine.wsj.com/article/SB122991035662025577.html, accessed December 23, 2008.</w:t>
      </w:r>
    </w:p>
    <w:p w:rsidR="00CF63AB" w:rsidRPr="00CF63AB" w:rsidRDefault="00CF63AB" w:rsidP="00CF63AB">
      <w:pPr>
        <w:widowControl w:val="0"/>
        <w:overflowPunct w:val="0"/>
        <w:autoSpaceDE w:val="0"/>
        <w:autoSpaceDN w:val="0"/>
        <w:adjustRightInd w:val="0"/>
        <w:spacing w:after="0" w:line="240" w:lineRule="auto"/>
        <w:rPr>
          <w:rFonts w:ascii="Calibri" w:eastAsia="Times New Roman" w:hAnsi="Calibri" w:cs="Calibri"/>
          <w:kern w:val="28"/>
        </w:rPr>
      </w:pPr>
    </w:p>
    <w:p w:rsidR="00CF63AB" w:rsidRPr="00CF63AB" w:rsidRDefault="00CF63AB" w:rsidP="00CF63AB">
      <w:pPr>
        <w:widowControl w:val="0"/>
        <w:overflowPunct w:val="0"/>
        <w:autoSpaceDE w:val="0"/>
        <w:autoSpaceDN w:val="0"/>
        <w:adjustRightInd w:val="0"/>
        <w:spacing w:after="0" w:line="240" w:lineRule="auto"/>
        <w:rPr>
          <w:rFonts w:ascii="Calibri" w:eastAsia="Times New Roman" w:hAnsi="Calibri" w:cs="Calibri"/>
          <w:kern w:val="28"/>
        </w:rPr>
      </w:pPr>
    </w:p>
    <w:p w:rsidR="00CF63AB" w:rsidRPr="00CF63AB" w:rsidRDefault="00CF63AB" w:rsidP="00CF63AB">
      <w:pPr>
        <w:widowControl w:val="0"/>
        <w:overflowPunct w:val="0"/>
        <w:autoSpaceDE w:val="0"/>
        <w:autoSpaceDN w:val="0"/>
        <w:adjustRightInd w:val="0"/>
        <w:spacing w:after="0" w:line="240" w:lineRule="auto"/>
        <w:rPr>
          <w:rFonts w:ascii="Calibri" w:eastAsia="Times New Roman" w:hAnsi="Calibri" w:cs="Calibri"/>
          <w:kern w:val="28"/>
        </w:rPr>
      </w:pPr>
    </w:p>
    <w:p w:rsidR="00CF63AB" w:rsidRPr="00CF63AB" w:rsidRDefault="00CF63AB" w:rsidP="00CF63AB">
      <w:pPr>
        <w:widowControl w:val="0"/>
        <w:overflowPunct w:val="0"/>
        <w:autoSpaceDE w:val="0"/>
        <w:autoSpaceDN w:val="0"/>
        <w:adjustRightInd w:val="0"/>
        <w:spacing w:after="0" w:line="240" w:lineRule="auto"/>
        <w:jc w:val="center"/>
        <w:rPr>
          <w:rFonts w:ascii="Calibri" w:eastAsia="Times New Roman" w:hAnsi="Calibri" w:cs="Calibri"/>
          <w:b/>
          <w:bCs/>
          <w:kern w:val="28"/>
        </w:rPr>
      </w:pPr>
      <w:r w:rsidRPr="00CF63AB">
        <w:rPr>
          <w:rFonts w:ascii="Calibri" w:eastAsia="Times New Roman" w:hAnsi="Calibri" w:cs="Calibri"/>
          <w:b/>
          <w:bCs/>
          <w:kern w:val="28"/>
        </w:rPr>
        <w:t>Appendix</w:t>
      </w:r>
    </w:p>
    <w:p w:rsidR="00CF63AB" w:rsidRPr="00CF63AB" w:rsidRDefault="00CF63AB" w:rsidP="00CF63AB">
      <w:pPr>
        <w:widowControl w:val="0"/>
        <w:overflowPunct w:val="0"/>
        <w:autoSpaceDE w:val="0"/>
        <w:autoSpaceDN w:val="0"/>
        <w:adjustRightInd w:val="0"/>
        <w:spacing w:after="0" w:line="240" w:lineRule="auto"/>
        <w:jc w:val="center"/>
        <w:rPr>
          <w:rFonts w:ascii="Calibri" w:eastAsia="Times New Roman" w:hAnsi="Calibri" w:cs="Calibri"/>
          <w:b/>
          <w:bCs/>
          <w:kern w:val="28"/>
        </w:rPr>
      </w:pPr>
    </w:p>
    <w:p w:rsidR="00CF63AB" w:rsidRPr="00CF63AB" w:rsidRDefault="00CF63AB" w:rsidP="00CF63AB">
      <w:pPr>
        <w:widowControl w:val="0"/>
        <w:overflowPunct w:val="0"/>
        <w:autoSpaceDE w:val="0"/>
        <w:autoSpaceDN w:val="0"/>
        <w:adjustRightInd w:val="0"/>
        <w:spacing w:after="0" w:line="240" w:lineRule="auto"/>
        <w:jc w:val="center"/>
        <w:rPr>
          <w:rFonts w:ascii="Calibri" w:eastAsia="Times New Roman" w:hAnsi="Calibri" w:cs="Calibri"/>
          <w:b/>
          <w:bCs/>
          <w:kern w:val="28"/>
        </w:rPr>
      </w:pPr>
    </w:p>
    <w:p w:rsidR="00CF63AB" w:rsidRPr="00CF63AB" w:rsidRDefault="00CF63AB" w:rsidP="00CF63AB">
      <w:pPr>
        <w:widowControl w:val="0"/>
        <w:overflowPunct w:val="0"/>
        <w:autoSpaceDE w:val="0"/>
        <w:autoSpaceDN w:val="0"/>
        <w:adjustRightInd w:val="0"/>
        <w:spacing w:after="0" w:line="240" w:lineRule="auto"/>
        <w:jc w:val="center"/>
        <w:rPr>
          <w:rFonts w:ascii="Calibri" w:eastAsia="Times New Roman" w:hAnsi="Calibri" w:cs="Calibri"/>
          <w:b/>
          <w:bCs/>
          <w:kern w:val="28"/>
        </w:rPr>
      </w:pPr>
    </w:p>
    <w:p w:rsidR="00CF63AB" w:rsidRPr="00CF63AB" w:rsidRDefault="00CF63AB" w:rsidP="00CF63AB">
      <w:pPr>
        <w:widowControl w:val="0"/>
        <w:overflowPunct w:val="0"/>
        <w:autoSpaceDE w:val="0"/>
        <w:autoSpaceDN w:val="0"/>
        <w:adjustRightInd w:val="0"/>
        <w:spacing w:after="0" w:line="240" w:lineRule="auto"/>
        <w:jc w:val="center"/>
        <w:rPr>
          <w:rFonts w:ascii="Calibri" w:eastAsia="Times New Roman" w:hAnsi="Calibri" w:cs="Calibri"/>
          <w:b/>
          <w:bCs/>
          <w:kern w:val="28"/>
        </w:rPr>
      </w:pPr>
    </w:p>
    <w:tbl>
      <w:tblPr>
        <w:tblW w:w="0" w:type="auto"/>
        <w:tblLayout w:type="fixed"/>
        <w:tblCellMar>
          <w:left w:w="180" w:type="dxa"/>
          <w:right w:w="180" w:type="dxa"/>
        </w:tblCellMar>
        <w:tblLook w:val="0000" w:firstRow="0" w:lastRow="0" w:firstColumn="0" w:lastColumn="0" w:noHBand="0" w:noVBand="0"/>
      </w:tblPr>
      <w:tblGrid>
        <w:gridCol w:w="2826"/>
        <w:gridCol w:w="4016"/>
        <w:gridCol w:w="1800"/>
      </w:tblGrid>
      <w:tr w:rsidR="00CF63AB" w:rsidRPr="00CF63AB">
        <w:tblPrEx>
          <w:tblCellMar>
            <w:top w:w="0" w:type="dxa"/>
            <w:bottom w:w="0" w:type="dxa"/>
          </w:tblCellMar>
        </w:tblPrEx>
        <w:trPr>
          <w:trHeight w:val="589"/>
        </w:trPr>
        <w:tc>
          <w:tcPr>
            <w:tcW w:w="2826" w:type="dxa"/>
            <w:tcBorders>
              <w:top w:val="nil"/>
              <w:left w:val="single" w:sz="8" w:space="0" w:color="7F7F7F"/>
              <w:bottom w:val="single" w:sz="8" w:space="0" w:color="CCCCCC"/>
              <w:right w:val="nil"/>
            </w:tcBorders>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Fairfield Greenwich Advisors</w:t>
            </w:r>
          </w:p>
        </w:tc>
        <w:tc>
          <w:tcPr>
            <w:tcW w:w="4016" w:type="dxa"/>
            <w:tcBorders>
              <w:top w:val="nil"/>
              <w:left w:val="nil"/>
              <w:bottom w:val="single" w:sz="8" w:space="0" w:color="CCCCCC"/>
              <w:right w:val="nil"/>
            </w:tcBorders>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An investment management firm</w:t>
            </w:r>
          </w:p>
        </w:tc>
        <w:tc>
          <w:tcPr>
            <w:tcW w:w="1800" w:type="dxa"/>
            <w:tcBorders>
              <w:top w:val="nil"/>
              <w:left w:val="nil"/>
              <w:bottom w:val="single" w:sz="8" w:space="0" w:color="CCCCCC"/>
              <w:right w:val="single" w:sz="8" w:space="0" w:color="7F7F7F"/>
            </w:tcBorders>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$7,500,000,000</w:t>
            </w:r>
          </w:p>
        </w:tc>
      </w:tr>
      <w:tr w:rsidR="00CF63AB" w:rsidRPr="00CF63AB">
        <w:tblPrEx>
          <w:tblCellMar>
            <w:top w:w="0" w:type="dxa"/>
            <w:bottom w:w="0" w:type="dxa"/>
          </w:tblCellMar>
        </w:tblPrEx>
        <w:trPr>
          <w:trHeight w:val="589"/>
        </w:trPr>
        <w:tc>
          <w:tcPr>
            <w:tcW w:w="2826" w:type="dxa"/>
            <w:tcBorders>
              <w:top w:val="nil"/>
              <w:left w:val="single" w:sz="8" w:space="0" w:color="7F7F7F"/>
              <w:bottom w:val="single" w:sz="8" w:space="0" w:color="CCCCCC"/>
              <w:right w:val="nil"/>
            </w:tcBorders>
            <w:shd w:val="solid" w:color="EDF5FF" w:fill="EDF5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Tremont Group Holdings</w:t>
            </w:r>
          </w:p>
        </w:tc>
        <w:tc>
          <w:tcPr>
            <w:tcW w:w="4016" w:type="dxa"/>
            <w:tcBorders>
              <w:top w:val="nil"/>
              <w:left w:val="nil"/>
              <w:bottom w:val="single" w:sz="8" w:space="0" w:color="CCCCCC"/>
              <w:right w:val="nil"/>
            </w:tcBorders>
            <w:shd w:val="solid" w:color="EDF5FF" w:fill="EDF5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Asset management firm</w:t>
            </w:r>
          </w:p>
        </w:tc>
        <w:tc>
          <w:tcPr>
            <w:tcW w:w="1800" w:type="dxa"/>
            <w:tcBorders>
              <w:top w:val="nil"/>
              <w:left w:val="nil"/>
              <w:bottom w:val="single" w:sz="8" w:space="0" w:color="CCCCCC"/>
              <w:right w:val="single" w:sz="8" w:space="0" w:color="7F7F7F"/>
            </w:tcBorders>
            <w:shd w:val="solid" w:color="EDF5FF" w:fill="EDF5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$3,300,000,000</w:t>
            </w:r>
          </w:p>
        </w:tc>
      </w:tr>
      <w:tr w:rsidR="00CF63AB" w:rsidRPr="00CF63AB">
        <w:tblPrEx>
          <w:tblCellMar>
            <w:top w:w="0" w:type="dxa"/>
            <w:bottom w:w="0" w:type="dxa"/>
          </w:tblCellMar>
        </w:tblPrEx>
        <w:trPr>
          <w:trHeight w:val="589"/>
        </w:trPr>
        <w:tc>
          <w:tcPr>
            <w:tcW w:w="2826" w:type="dxa"/>
            <w:tcBorders>
              <w:top w:val="nil"/>
              <w:left w:val="single" w:sz="8" w:space="0" w:color="7F7F7F"/>
              <w:bottom w:val="single" w:sz="8" w:space="0" w:color="CCCCCC"/>
              <w:right w:val="nil"/>
            </w:tcBorders>
            <w:shd w:val="solid" w:color="FFFFFF" w:fill="FFFF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Banco Santander</w:t>
            </w:r>
          </w:p>
        </w:tc>
        <w:tc>
          <w:tcPr>
            <w:tcW w:w="4016" w:type="dxa"/>
            <w:tcBorders>
              <w:top w:val="nil"/>
              <w:left w:val="nil"/>
              <w:bottom w:val="single" w:sz="8" w:space="0" w:color="CCCCCC"/>
              <w:right w:val="nil"/>
            </w:tcBorders>
            <w:shd w:val="solid" w:color="FFFFFF" w:fill="FFFF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Spanish bank</w:t>
            </w:r>
          </w:p>
        </w:tc>
        <w:tc>
          <w:tcPr>
            <w:tcW w:w="1800" w:type="dxa"/>
            <w:tcBorders>
              <w:top w:val="nil"/>
              <w:left w:val="nil"/>
              <w:bottom w:val="single" w:sz="8" w:space="0" w:color="CCCCCC"/>
              <w:right w:val="single" w:sz="8" w:space="0" w:color="7F7F7F"/>
            </w:tcBorders>
            <w:shd w:val="solid" w:color="FFFFFF" w:fill="FFFF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$2,870,000,000</w:t>
            </w:r>
          </w:p>
        </w:tc>
      </w:tr>
      <w:tr w:rsidR="00CF63AB" w:rsidRPr="00CF63AB">
        <w:tblPrEx>
          <w:tblCellMar>
            <w:top w:w="0" w:type="dxa"/>
            <w:bottom w:w="0" w:type="dxa"/>
          </w:tblCellMar>
        </w:tblPrEx>
        <w:trPr>
          <w:trHeight w:val="589"/>
        </w:trPr>
        <w:tc>
          <w:tcPr>
            <w:tcW w:w="2826" w:type="dxa"/>
            <w:tcBorders>
              <w:top w:val="nil"/>
              <w:left w:val="single" w:sz="8" w:space="0" w:color="7F7F7F"/>
              <w:bottom w:val="single" w:sz="8" w:space="0" w:color="CCCCCC"/>
              <w:right w:val="nil"/>
            </w:tcBorders>
            <w:shd w:val="solid" w:color="EDF5FF" w:fill="EDF5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Bank Medici</w:t>
            </w:r>
          </w:p>
        </w:tc>
        <w:tc>
          <w:tcPr>
            <w:tcW w:w="4016" w:type="dxa"/>
            <w:tcBorders>
              <w:top w:val="nil"/>
              <w:left w:val="nil"/>
              <w:bottom w:val="single" w:sz="8" w:space="0" w:color="CCCCCC"/>
              <w:right w:val="nil"/>
            </w:tcBorders>
            <w:shd w:val="solid" w:color="EDF5FF" w:fill="EDF5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Austrian bank</w:t>
            </w:r>
          </w:p>
        </w:tc>
        <w:tc>
          <w:tcPr>
            <w:tcW w:w="1800" w:type="dxa"/>
            <w:tcBorders>
              <w:top w:val="nil"/>
              <w:left w:val="nil"/>
              <w:bottom w:val="single" w:sz="8" w:space="0" w:color="CCCCCC"/>
              <w:right w:val="single" w:sz="8" w:space="0" w:color="7F7F7F"/>
            </w:tcBorders>
            <w:shd w:val="solid" w:color="EDF5FF" w:fill="EDF5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$2,100,000,000</w:t>
            </w:r>
          </w:p>
        </w:tc>
      </w:tr>
      <w:tr w:rsidR="00CF63AB" w:rsidRPr="00CF63AB">
        <w:tblPrEx>
          <w:tblCellMar>
            <w:top w:w="0" w:type="dxa"/>
            <w:bottom w:w="0" w:type="dxa"/>
          </w:tblCellMar>
        </w:tblPrEx>
        <w:trPr>
          <w:trHeight w:val="844"/>
        </w:trPr>
        <w:tc>
          <w:tcPr>
            <w:tcW w:w="2826" w:type="dxa"/>
            <w:tcBorders>
              <w:top w:val="nil"/>
              <w:left w:val="single" w:sz="8" w:space="0" w:color="7F7F7F"/>
              <w:bottom w:val="single" w:sz="8" w:space="0" w:color="CCCCCC"/>
              <w:right w:val="nil"/>
            </w:tcBorders>
            <w:shd w:val="solid" w:color="FFFFFF" w:fill="FFFF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Ascot Partners</w:t>
            </w:r>
          </w:p>
        </w:tc>
        <w:tc>
          <w:tcPr>
            <w:tcW w:w="4016" w:type="dxa"/>
            <w:tcBorders>
              <w:top w:val="nil"/>
              <w:left w:val="nil"/>
              <w:bottom w:val="single" w:sz="8" w:space="0" w:color="CCCCCC"/>
              <w:right w:val="nil"/>
            </w:tcBorders>
            <w:shd w:val="solid" w:color="FFFFFF" w:fill="FFFF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A hedge fund founded by billionaire investor, philanthropist and GMAC chief J. Ezra Merkin</w:t>
            </w:r>
          </w:p>
        </w:tc>
        <w:tc>
          <w:tcPr>
            <w:tcW w:w="1800" w:type="dxa"/>
            <w:tcBorders>
              <w:top w:val="nil"/>
              <w:left w:val="nil"/>
              <w:bottom w:val="single" w:sz="8" w:space="0" w:color="CCCCCC"/>
              <w:right w:val="single" w:sz="8" w:space="0" w:color="7F7F7F"/>
            </w:tcBorders>
            <w:shd w:val="solid" w:color="FFFFFF" w:fill="FFFF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$1,800,000,000</w:t>
            </w:r>
          </w:p>
        </w:tc>
      </w:tr>
      <w:tr w:rsidR="00CF63AB" w:rsidRPr="00CF63AB">
        <w:tblPrEx>
          <w:tblCellMar>
            <w:top w:w="0" w:type="dxa"/>
            <w:bottom w:w="0" w:type="dxa"/>
          </w:tblCellMar>
        </w:tblPrEx>
        <w:trPr>
          <w:trHeight w:val="589"/>
        </w:trPr>
        <w:tc>
          <w:tcPr>
            <w:tcW w:w="2826" w:type="dxa"/>
            <w:tcBorders>
              <w:top w:val="nil"/>
              <w:left w:val="single" w:sz="8" w:space="0" w:color="7F7F7F"/>
              <w:bottom w:val="single" w:sz="8" w:space="0" w:color="CCCCCC"/>
              <w:right w:val="nil"/>
            </w:tcBorders>
            <w:shd w:val="solid" w:color="FFFFFF" w:fill="FFFF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Fortis</w:t>
            </w:r>
          </w:p>
        </w:tc>
        <w:tc>
          <w:tcPr>
            <w:tcW w:w="4016" w:type="dxa"/>
            <w:tcBorders>
              <w:top w:val="nil"/>
              <w:left w:val="nil"/>
              <w:bottom w:val="single" w:sz="8" w:space="0" w:color="CCCCCC"/>
              <w:right w:val="nil"/>
            </w:tcBorders>
            <w:shd w:val="solid" w:color="FFFFFF" w:fill="FFFF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Dutch bank</w:t>
            </w:r>
          </w:p>
        </w:tc>
        <w:tc>
          <w:tcPr>
            <w:tcW w:w="1800" w:type="dxa"/>
            <w:tcBorders>
              <w:top w:val="nil"/>
              <w:left w:val="nil"/>
              <w:bottom w:val="single" w:sz="8" w:space="0" w:color="CCCCCC"/>
              <w:right w:val="single" w:sz="8" w:space="0" w:color="7F7F7F"/>
            </w:tcBorders>
            <w:shd w:val="solid" w:color="FFFFFF" w:fill="FFFF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$1,350,000,000</w:t>
            </w:r>
          </w:p>
        </w:tc>
      </w:tr>
      <w:tr w:rsidR="00CF63AB" w:rsidRPr="00CF63AB">
        <w:tblPrEx>
          <w:tblCellMar>
            <w:top w:w="0" w:type="dxa"/>
            <w:bottom w:w="0" w:type="dxa"/>
          </w:tblCellMar>
        </w:tblPrEx>
        <w:trPr>
          <w:trHeight w:val="589"/>
        </w:trPr>
        <w:tc>
          <w:tcPr>
            <w:tcW w:w="2826" w:type="dxa"/>
            <w:tcBorders>
              <w:top w:val="nil"/>
              <w:left w:val="single" w:sz="8" w:space="0" w:color="7F7F7F"/>
              <w:bottom w:val="single" w:sz="8" w:space="0" w:color="CCCCCC"/>
              <w:right w:val="nil"/>
            </w:tcBorders>
            <w:shd w:val="solid" w:color="FFFFFF" w:fill="FFFF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HSBC</w:t>
            </w:r>
          </w:p>
        </w:tc>
        <w:tc>
          <w:tcPr>
            <w:tcW w:w="4016" w:type="dxa"/>
            <w:tcBorders>
              <w:top w:val="nil"/>
              <w:left w:val="nil"/>
              <w:bottom w:val="single" w:sz="8" w:space="0" w:color="CCCCCC"/>
              <w:right w:val="nil"/>
            </w:tcBorders>
            <w:shd w:val="solid" w:color="FFFFFF" w:fill="FFFF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British bank</w:t>
            </w:r>
          </w:p>
        </w:tc>
        <w:tc>
          <w:tcPr>
            <w:tcW w:w="1800" w:type="dxa"/>
            <w:tcBorders>
              <w:top w:val="nil"/>
              <w:left w:val="nil"/>
              <w:bottom w:val="single" w:sz="8" w:space="0" w:color="CCCCCC"/>
              <w:right w:val="single" w:sz="8" w:space="0" w:color="7F7F7F"/>
            </w:tcBorders>
            <w:shd w:val="solid" w:color="FFFFFF" w:fill="FFFF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$1,000,000,000</w:t>
            </w:r>
          </w:p>
        </w:tc>
      </w:tr>
      <w:tr w:rsidR="00CF63AB" w:rsidRPr="00CF63AB">
        <w:tblPrEx>
          <w:tblCellMar>
            <w:top w:w="0" w:type="dxa"/>
            <w:bottom w:w="0" w:type="dxa"/>
          </w:tblCellMar>
        </w:tblPrEx>
        <w:trPr>
          <w:trHeight w:val="844"/>
        </w:trPr>
        <w:tc>
          <w:tcPr>
            <w:tcW w:w="2826" w:type="dxa"/>
            <w:tcBorders>
              <w:top w:val="nil"/>
              <w:left w:val="single" w:sz="8" w:space="0" w:color="7F7F7F"/>
              <w:bottom w:val="single" w:sz="8" w:space="0" w:color="CCCCCC"/>
              <w:right w:val="nil"/>
            </w:tcBorders>
            <w:shd w:val="solid" w:color="FFFFFF" w:fill="FFFF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Carl Shapiro</w:t>
            </w:r>
          </w:p>
        </w:tc>
        <w:tc>
          <w:tcPr>
            <w:tcW w:w="4016" w:type="dxa"/>
            <w:tcBorders>
              <w:top w:val="nil"/>
              <w:left w:val="nil"/>
              <w:bottom w:val="single" w:sz="8" w:space="0" w:color="CCCCCC"/>
              <w:right w:val="nil"/>
            </w:tcBorders>
            <w:shd w:val="solid" w:color="FFFFFF" w:fill="FFFF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The founder and former chairman of apparel company Kay Windsor Inc., and his wife</w:t>
            </w:r>
          </w:p>
        </w:tc>
        <w:tc>
          <w:tcPr>
            <w:tcW w:w="1800" w:type="dxa"/>
            <w:tcBorders>
              <w:top w:val="nil"/>
              <w:left w:val="nil"/>
              <w:bottom w:val="single" w:sz="8" w:space="0" w:color="CCCCCC"/>
              <w:right w:val="single" w:sz="8" w:space="0" w:color="7F7F7F"/>
            </w:tcBorders>
            <w:shd w:val="solid" w:color="FFFFFF" w:fill="FFFF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$500,000,000</w:t>
            </w:r>
          </w:p>
        </w:tc>
      </w:tr>
      <w:tr w:rsidR="00CF63AB" w:rsidRPr="00CF63AB">
        <w:tblPrEx>
          <w:tblCellMar>
            <w:top w:w="0" w:type="dxa"/>
            <w:bottom w:w="0" w:type="dxa"/>
          </w:tblCellMar>
        </w:tblPrEx>
        <w:trPr>
          <w:trHeight w:val="335"/>
        </w:trPr>
        <w:tc>
          <w:tcPr>
            <w:tcW w:w="2826" w:type="dxa"/>
            <w:tcBorders>
              <w:top w:val="nil"/>
              <w:left w:val="single" w:sz="8" w:space="0" w:color="7F7F7F"/>
              <w:bottom w:val="single" w:sz="8" w:space="0" w:color="CCCCCC"/>
              <w:right w:val="nil"/>
            </w:tcBorders>
            <w:shd w:val="solid" w:color="FFFFFF" w:fill="FFFF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Fairfield, Conn.</w:t>
            </w:r>
          </w:p>
        </w:tc>
        <w:tc>
          <w:tcPr>
            <w:tcW w:w="4016" w:type="dxa"/>
            <w:tcBorders>
              <w:top w:val="nil"/>
              <w:left w:val="nil"/>
              <w:bottom w:val="single" w:sz="8" w:space="0" w:color="CCCCCC"/>
              <w:right w:val="nil"/>
            </w:tcBorders>
            <w:shd w:val="solid" w:color="FFFFFF" w:fill="FFFF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town pension fund</w:t>
            </w:r>
          </w:p>
        </w:tc>
        <w:tc>
          <w:tcPr>
            <w:tcW w:w="1800" w:type="dxa"/>
            <w:tcBorders>
              <w:top w:val="nil"/>
              <w:left w:val="nil"/>
              <w:bottom w:val="single" w:sz="8" w:space="0" w:color="CCCCCC"/>
              <w:right w:val="single" w:sz="8" w:space="0" w:color="7F7F7F"/>
            </w:tcBorders>
            <w:shd w:val="solid" w:color="FFFFFF" w:fill="FFFF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$42,000,000</w:t>
            </w:r>
          </w:p>
        </w:tc>
      </w:tr>
      <w:tr w:rsidR="00CF63AB" w:rsidRPr="00CF63AB">
        <w:tblPrEx>
          <w:tblCellMar>
            <w:top w:w="0" w:type="dxa"/>
            <w:bottom w:w="0" w:type="dxa"/>
          </w:tblCellMar>
        </w:tblPrEx>
        <w:trPr>
          <w:trHeight w:val="844"/>
        </w:trPr>
        <w:tc>
          <w:tcPr>
            <w:tcW w:w="2826" w:type="dxa"/>
            <w:tcBorders>
              <w:top w:val="nil"/>
              <w:left w:val="single" w:sz="8" w:space="0" w:color="7F7F7F"/>
              <w:bottom w:val="single" w:sz="8" w:space="0" w:color="CCCCCC"/>
              <w:right w:val="nil"/>
            </w:tcBorders>
            <w:shd w:val="solid" w:color="FFFFFF" w:fill="FFFF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Jewish Community Foundation of Los Angeles</w:t>
            </w:r>
          </w:p>
        </w:tc>
        <w:tc>
          <w:tcPr>
            <w:tcW w:w="4016" w:type="dxa"/>
            <w:tcBorders>
              <w:top w:val="nil"/>
              <w:left w:val="nil"/>
              <w:bottom w:val="single" w:sz="8" w:space="0" w:color="CCCCCC"/>
              <w:right w:val="nil"/>
            </w:tcBorders>
            <w:shd w:val="solid" w:color="FFFFFF" w:fill="FFFF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The largest manager of charitable gift assets for Los Angeles Jewish philanthropists</w:t>
            </w:r>
          </w:p>
        </w:tc>
        <w:tc>
          <w:tcPr>
            <w:tcW w:w="1800" w:type="dxa"/>
            <w:tcBorders>
              <w:top w:val="nil"/>
              <w:left w:val="nil"/>
              <w:bottom w:val="single" w:sz="8" w:space="0" w:color="CCCCCC"/>
              <w:right w:val="single" w:sz="8" w:space="0" w:color="7F7F7F"/>
            </w:tcBorders>
            <w:shd w:val="solid" w:color="FFFFFF" w:fill="FFFF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$18,000,000</w:t>
            </w:r>
          </w:p>
        </w:tc>
      </w:tr>
      <w:tr w:rsidR="00CF63AB" w:rsidRPr="00CF63AB">
        <w:tblPrEx>
          <w:tblCellMar>
            <w:top w:w="0" w:type="dxa"/>
            <w:bottom w:w="0" w:type="dxa"/>
          </w:tblCellMar>
        </w:tblPrEx>
        <w:trPr>
          <w:trHeight w:val="335"/>
        </w:trPr>
        <w:tc>
          <w:tcPr>
            <w:tcW w:w="2826" w:type="dxa"/>
            <w:tcBorders>
              <w:top w:val="nil"/>
              <w:left w:val="single" w:sz="8" w:space="0" w:color="7F7F7F"/>
              <w:bottom w:val="single" w:sz="8" w:space="0" w:color="CCCCCC"/>
              <w:right w:val="nil"/>
            </w:tcBorders>
            <w:shd w:val="solid" w:color="EDF5FF" w:fill="EDF5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Korea Teachers Pension</w:t>
            </w:r>
          </w:p>
        </w:tc>
        <w:tc>
          <w:tcPr>
            <w:tcW w:w="4016" w:type="dxa"/>
            <w:tcBorders>
              <w:top w:val="nil"/>
              <w:left w:val="nil"/>
              <w:bottom w:val="single" w:sz="8" w:space="0" w:color="CCCCCC"/>
              <w:right w:val="nil"/>
            </w:tcBorders>
            <w:shd w:val="solid" w:color="EDF5FF" w:fill="EDF5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A 10 trillion won Korean pension fund</w:t>
            </w:r>
          </w:p>
        </w:tc>
        <w:tc>
          <w:tcPr>
            <w:tcW w:w="1800" w:type="dxa"/>
            <w:tcBorders>
              <w:top w:val="nil"/>
              <w:left w:val="nil"/>
              <w:bottom w:val="single" w:sz="8" w:space="0" w:color="CCCCCC"/>
              <w:right w:val="single" w:sz="8" w:space="0" w:color="7F7F7F"/>
            </w:tcBorders>
            <w:shd w:val="solid" w:color="EDF5FF" w:fill="EDF5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$9,100,000</w:t>
            </w:r>
          </w:p>
        </w:tc>
      </w:tr>
      <w:tr w:rsidR="00CF63AB" w:rsidRPr="00CF63AB">
        <w:tblPrEx>
          <w:tblCellMar>
            <w:top w:w="0" w:type="dxa"/>
            <w:bottom w:w="0" w:type="dxa"/>
          </w:tblCellMar>
        </w:tblPrEx>
        <w:trPr>
          <w:trHeight w:val="335"/>
        </w:trPr>
        <w:tc>
          <w:tcPr>
            <w:tcW w:w="2826" w:type="dxa"/>
            <w:tcBorders>
              <w:top w:val="nil"/>
              <w:left w:val="single" w:sz="8" w:space="0" w:color="7F7F7F"/>
              <w:bottom w:val="single" w:sz="8" w:space="0" w:color="CCCCCC"/>
              <w:right w:val="nil"/>
            </w:tcBorders>
            <w:shd w:val="solid" w:color="FFFFFF" w:fill="FFFF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Fred Wilpon</w:t>
            </w:r>
          </w:p>
        </w:tc>
        <w:tc>
          <w:tcPr>
            <w:tcW w:w="4016" w:type="dxa"/>
            <w:tcBorders>
              <w:top w:val="nil"/>
              <w:left w:val="nil"/>
              <w:bottom w:val="single" w:sz="8" w:space="0" w:color="CCCCCC"/>
              <w:right w:val="nil"/>
            </w:tcBorders>
            <w:shd w:val="solid" w:color="FFFFFF" w:fill="FFFF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owner of New York Mets</w:t>
            </w:r>
          </w:p>
        </w:tc>
        <w:tc>
          <w:tcPr>
            <w:tcW w:w="1800" w:type="dxa"/>
            <w:tcBorders>
              <w:top w:val="nil"/>
              <w:left w:val="nil"/>
              <w:bottom w:val="single" w:sz="8" w:space="0" w:color="CCCCCC"/>
              <w:right w:val="single" w:sz="8" w:space="0" w:color="7F7F7F"/>
            </w:tcBorders>
            <w:shd w:val="solid" w:color="FFFFFF" w:fill="FFFF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N/A</w:t>
            </w:r>
          </w:p>
        </w:tc>
      </w:tr>
      <w:tr w:rsidR="00CF63AB" w:rsidRPr="00CF63AB">
        <w:tblPrEx>
          <w:tblCellMar>
            <w:top w:w="0" w:type="dxa"/>
            <w:bottom w:w="0" w:type="dxa"/>
          </w:tblCellMar>
        </w:tblPrEx>
        <w:trPr>
          <w:trHeight w:val="589"/>
        </w:trPr>
        <w:tc>
          <w:tcPr>
            <w:tcW w:w="2826" w:type="dxa"/>
            <w:tcBorders>
              <w:top w:val="nil"/>
              <w:left w:val="single" w:sz="8" w:space="0" w:color="7F7F7F"/>
              <w:bottom w:val="single" w:sz="8" w:space="0" w:color="CCCCCC"/>
              <w:right w:val="nil"/>
            </w:tcBorders>
            <w:shd w:val="solid" w:color="EDF5FF" w:fill="EDF5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lastRenderedPageBreak/>
              <w:t>Steven Spielberg</w:t>
            </w:r>
          </w:p>
        </w:tc>
        <w:tc>
          <w:tcPr>
            <w:tcW w:w="4016" w:type="dxa"/>
            <w:tcBorders>
              <w:top w:val="nil"/>
              <w:left w:val="nil"/>
              <w:bottom w:val="single" w:sz="8" w:space="0" w:color="CCCCCC"/>
              <w:right w:val="nil"/>
            </w:tcBorders>
            <w:shd w:val="solid" w:color="EDF5FF" w:fill="EDF5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The Spielberg charity -- the Wunderkinder Foundation</w:t>
            </w:r>
          </w:p>
        </w:tc>
        <w:tc>
          <w:tcPr>
            <w:tcW w:w="1800" w:type="dxa"/>
            <w:tcBorders>
              <w:top w:val="nil"/>
              <w:left w:val="nil"/>
              <w:bottom w:val="single" w:sz="8" w:space="0" w:color="CCCCCC"/>
              <w:right w:val="single" w:sz="8" w:space="0" w:color="7F7F7F"/>
            </w:tcBorders>
            <w:shd w:val="solid" w:color="EDF5FF" w:fill="EDF5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N/A</w:t>
            </w:r>
          </w:p>
        </w:tc>
      </w:tr>
      <w:tr w:rsidR="00CF63AB" w:rsidRPr="00CF63AB">
        <w:tblPrEx>
          <w:tblCellMar>
            <w:top w:w="0" w:type="dxa"/>
            <w:bottom w:w="0" w:type="dxa"/>
          </w:tblCellMar>
        </w:tblPrEx>
        <w:trPr>
          <w:trHeight w:val="335"/>
        </w:trPr>
        <w:tc>
          <w:tcPr>
            <w:tcW w:w="2826" w:type="dxa"/>
            <w:tcBorders>
              <w:top w:val="nil"/>
              <w:left w:val="single" w:sz="8" w:space="0" w:color="7F7F7F"/>
              <w:bottom w:val="single" w:sz="8" w:space="0" w:color="CCCCCC"/>
              <w:right w:val="nil"/>
            </w:tcBorders>
            <w:shd w:val="solid" w:color="EDF5FF" w:fill="EDF5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Chais Family Foundation</w:t>
            </w:r>
          </w:p>
        </w:tc>
        <w:tc>
          <w:tcPr>
            <w:tcW w:w="4016" w:type="dxa"/>
            <w:tcBorders>
              <w:top w:val="nil"/>
              <w:left w:val="nil"/>
              <w:bottom w:val="single" w:sz="8" w:space="0" w:color="CCCCCC"/>
              <w:right w:val="nil"/>
            </w:tcBorders>
            <w:shd w:val="solid" w:color="EDF5FF" w:fill="EDF5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A charity that gave to Jewish causes</w:t>
            </w:r>
          </w:p>
        </w:tc>
        <w:tc>
          <w:tcPr>
            <w:tcW w:w="1800" w:type="dxa"/>
            <w:tcBorders>
              <w:top w:val="nil"/>
              <w:left w:val="nil"/>
              <w:bottom w:val="single" w:sz="8" w:space="0" w:color="CCCCCC"/>
              <w:right w:val="single" w:sz="8" w:space="0" w:color="7F7F7F"/>
            </w:tcBorders>
            <w:shd w:val="solid" w:color="EDF5FF" w:fill="EDF5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N/A</w:t>
            </w:r>
          </w:p>
        </w:tc>
      </w:tr>
      <w:tr w:rsidR="00CF63AB" w:rsidRPr="00CF63AB">
        <w:tblPrEx>
          <w:tblCellMar>
            <w:top w:w="0" w:type="dxa"/>
            <w:bottom w:w="0" w:type="dxa"/>
          </w:tblCellMar>
        </w:tblPrEx>
        <w:trPr>
          <w:trHeight w:val="589"/>
        </w:trPr>
        <w:tc>
          <w:tcPr>
            <w:tcW w:w="2826" w:type="dxa"/>
            <w:tcBorders>
              <w:top w:val="nil"/>
              <w:left w:val="single" w:sz="8" w:space="0" w:color="7F7F7F"/>
              <w:bottom w:val="single" w:sz="8" w:space="0" w:color="CCCCCC"/>
              <w:right w:val="nil"/>
            </w:tcBorders>
            <w:shd w:val="solid" w:color="EDF5FF" w:fill="EDF5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Allianz Global Investors</w:t>
            </w:r>
          </w:p>
        </w:tc>
        <w:tc>
          <w:tcPr>
            <w:tcW w:w="4016" w:type="dxa"/>
            <w:tcBorders>
              <w:top w:val="nil"/>
              <w:left w:val="nil"/>
              <w:bottom w:val="single" w:sz="8" w:space="0" w:color="CCCCCC"/>
              <w:right w:val="nil"/>
            </w:tcBorders>
            <w:shd w:val="solid" w:color="EDF5FF" w:fill="EDF5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The asset management unit of German insurer Allianz SE</w:t>
            </w:r>
          </w:p>
        </w:tc>
        <w:tc>
          <w:tcPr>
            <w:tcW w:w="1800" w:type="dxa"/>
            <w:tcBorders>
              <w:top w:val="nil"/>
              <w:left w:val="nil"/>
              <w:bottom w:val="single" w:sz="8" w:space="0" w:color="CCCCCC"/>
              <w:right w:val="single" w:sz="8" w:space="0" w:color="7F7F7F"/>
            </w:tcBorders>
            <w:shd w:val="solid" w:color="EDF5FF" w:fill="EDF5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N/A</w:t>
            </w:r>
          </w:p>
        </w:tc>
      </w:tr>
      <w:tr w:rsidR="00CF63AB" w:rsidRPr="00CF63AB">
        <w:tblPrEx>
          <w:tblCellMar>
            <w:top w:w="0" w:type="dxa"/>
            <w:bottom w:w="0" w:type="dxa"/>
          </w:tblCellMar>
        </w:tblPrEx>
        <w:trPr>
          <w:trHeight w:val="335"/>
        </w:trPr>
        <w:tc>
          <w:tcPr>
            <w:tcW w:w="2826" w:type="dxa"/>
            <w:tcBorders>
              <w:top w:val="nil"/>
              <w:left w:val="single" w:sz="8" w:space="0" w:color="7F7F7F"/>
              <w:bottom w:val="single" w:sz="8" w:space="0" w:color="CCCCCC"/>
              <w:right w:val="nil"/>
            </w:tcBorders>
            <w:shd w:val="solid" w:color="FFFFFF" w:fill="FFFF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UBS AG</w:t>
            </w:r>
          </w:p>
        </w:tc>
        <w:tc>
          <w:tcPr>
            <w:tcW w:w="4016" w:type="dxa"/>
            <w:tcBorders>
              <w:top w:val="nil"/>
              <w:left w:val="nil"/>
              <w:bottom w:val="single" w:sz="8" w:space="0" w:color="CCCCCC"/>
              <w:right w:val="nil"/>
            </w:tcBorders>
            <w:shd w:val="solid" w:color="FFFFFF" w:fill="FFFF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Swiss bank</w:t>
            </w:r>
          </w:p>
        </w:tc>
        <w:tc>
          <w:tcPr>
            <w:tcW w:w="1800" w:type="dxa"/>
            <w:tcBorders>
              <w:top w:val="nil"/>
              <w:left w:val="nil"/>
              <w:bottom w:val="single" w:sz="8" w:space="0" w:color="CCCCCC"/>
              <w:right w:val="single" w:sz="8" w:space="0" w:color="7F7F7F"/>
            </w:tcBorders>
            <w:shd w:val="solid" w:color="FFFFFF" w:fill="FFFF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N/A</w:t>
            </w:r>
          </w:p>
        </w:tc>
      </w:tr>
      <w:tr w:rsidR="00CF63AB" w:rsidRPr="00CF63AB">
        <w:tblPrEx>
          <w:tblCellMar>
            <w:top w:w="0" w:type="dxa"/>
            <w:bottom w:w="0" w:type="dxa"/>
          </w:tblCellMar>
        </w:tblPrEx>
        <w:trPr>
          <w:trHeight w:val="335"/>
        </w:trPr>
        <w:tc>
          <w:tcPr>
            <w:tcW w:w="2826" w:type="dxa"/>
            <w:tcBorders>
              <w:top w:val="nil"/>
              <w:left w:val="single" w:sz="8" w:space="0" w:color="7F7F7F"/>
              <w:bottom w:val="single" w:sz="8" w:space="0" w:color="CCCCCC"/>
              <w:right w:val="nil"/>
            </w:tcBorders>
            <w:shd w:val="solid" w:color="EDF5FF" w:fill="EDF5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Yeshiva University</w:t>
            </w:r>
          </w:p>
        </w:tc>
        <w:tc>
          <w:tcPr>
            <w:tcW w:w="4016" w:type="dxa"/>
            <w:tcBorders>
              <w:top w:val="nil"/>
              <w:left w:val="nil"/>
              <w:bottom w:val="single" w:sz="8" w:space="0" w:color="CCCCCC"/>
              <w:right w:val="nil"/>
            </w:tcBorders>
            <w:shd w:val="solid" w:color="EDF5FF" w:fill="EDF5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A New York-based private university</w:t>
            </w:r>
          </w:p>
        </w:tc>
        <w:tc>
          <w:tcPr>
            <w:tcW w:w="1800" w:type="dxa"/>
            <w:tcBorders>
              <w:top w:val="nil"/>
              <w:left w:val="nil"/>
              <w:bottom w:val="single" w:sz="8" w:space="0" w:color="CCCCCC"/>
              <w:right w:val="single" w:sz="8" w:space="0" w:color="7F7F7F"/>
            </w:tcBorders>
            <w:shd w:val="solid" w:color="EDF5FF" w:fill="EDF5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$14,500,000</w:t>
            </w:r>
          </w:p>
        </w:tc>
      </w:tr>
      <w:tr w:rsidR="00CF63AB" w:rsidRPr="00CF63AB">
        <w:tblPrEx>
          <w:tblCellMar>
            <w:top w:w="0" w:type="dxa"/>
            <w:bottom w:w="0" w:type="dxa"/>
          </w:tblCellMar>
        </w:tblPrEx>
        <w:trPr>
          <w:trHeight w:val="589"/>
        </w:trPr>
        <w:tc>
          <w:tcPr>
            <w:tcW w:w="2826" w:type="dxa"/>
            <w:tcBorders>
              <w:top w:val="nil"/>
              <w:left w:val="single" w:sz="8" w:space="0" w:color="7F7F7F"/>
              <w:bottom w:val="single" w:sz="8" w:space="0" w:color="CCCCCC"/>
              <w:right w:val="nil"/>
            </w:tcBorders>
            <w:shd w:val="solid" w:color="FFFFFF" w:fill="FFFF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The Elie Wiesel Foundation for Humanity</w:t>
            </w:r>
          </w:p>
        </w:tc>
        <w:tc>
          <w:tcPr>
            <w:tcW w:w="4016" w:type="dxa"/>
            <w:tcBorders>
              <w:top w:val="nil"/>
              <w:left w:val="nil"/>
              <w:bottom w:val="single" w:sz="8" w:space="0" w:color="CCCCCC"/>
              <w:right w:val="nil"/>
            </w:tcBorders>
            <w:shd w:val="solid" w:color="FFFFFF" w:fill="FFFF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The charitable foundation of Nobel laureate</w:t>
            </w:r>
          </w:p>
        </w:tc>
        <w:tc>
          <w:tcPr>
            <w:tcW w:w="1800" w:type="dxa"/>
            <w:tcBorders>
              <w:top w:val="nil"/>
              <w:left w:val="nil"/>
              <w:bottom w:val="single" w:sz="8" w:space="0" w:color="CCCCCC"/>
              <w:right w:val="single" w:sz="8" w:space="0" w:color="7F7F7F"/>
            </w:tcBorders>
            <w:shd w:val="solid" w:color="FFFFFF" w:fill="FFFF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$15,200,000</w:t>
            </w:r>
          </w:p>
        </w:tc>
      </w:tr>
      <w:tr w:rsidR="00CF63AB" w:rsidRPr="00CF63AB">
        <w:tblPrEx>
          <w:tblCellMar>
            <w:top w:w="0" w:type="dxa"/>
            <w:bottom w:w="0" w:type="dxa"/>
          </w:tblCellMar>
        </w:tblPrEx>
        <w:trPr>
          <w:trHeight w:val="589"/>
        </w:trPr>
        <w:tc>
          <w:tcPr>
            <w:tcW w:w="2826" w:type="dxa"/>
            <w:tcBorders>
              <w:top w:val="nil"/>
              <w:left w:val="single" w:sz="8" w:space="0" w:color="7F7F7F"/>
              <w:bottom w:val="single" w:sz="8" w:space="0" w:color="CCCCCC"/>
              <w:right w:val="nil"/>
            </w:tcBorders>
            <w:shd w:val="solid" w:color="EDF5FF" w:fill="EDF5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Leonard Feinstein</w:t>
            </w:r>
          </w:p>
        </w:tc>
        <w:tc>
          <w:tcPr>
            <w:tcW w:w="4016" w:type="dxa"/>
            <w:tcBorders>
              <w:top w:val="nil"/>
              <w:left w:val="nil"/>
              <w:bottom w:val="single" w:sz="8" w:space="0" w:color="CCCCCC"/>
              <w:right w:val="nil"/>
            </w:tcBorders>
            <w:shd w:val="solid" w:color="EDF5FF" w:fill="EDF5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The co-founder of retailer Bed Bath &amp; Beyond</w:t>
            </w:r>
          </w:p>
        </w:tc>
        <w:tc>
          <w:tcPr>
            <w:tcW w:w="1800" w:type="dxa"/>
            <w:tcBorders>
              <w:top w:val="nil"/>
              <w:left w:val="nil"/>
              <w:bottom w:val="single" w:sz="8" w:space="0" w:color="CCCCCC"/>
              <w:right w:val="single" w:sz="8" w:space="0" w:color="7F7F7F"/>
            </w:tcBorders>
            <w:shd w:val="solid" w:color="EDF5FF" w:fill="EDF5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N/A</w:t>
            </w:r>
          </w:p>
        </w:tc>
      </w:tr>
      <w:tr w:rsidR="00CF63AB" w:rsidRPr="00CF63AB">
        <w:tblPrEx>
          <w:tblCellMar>
            <w:top w:w="0" w:type="dxa"/>
            <w:bottom w:w="0" w:type="dxa"/>
          </w:tblCellMar>
        </w:tblPrEx>
        <w:trPr>
          <w:trHeight w:val="589"/>
        </w:trPr>
        <w:tc>
          <w:tcPr>
            <w:tcW w:w="2826" w:type="dxa"/>
            <w:tcBorders>
              <w:top w:val="nil"/>
              <w:left w:val="single" w:sz="8" w:space="0" w:color="7F7F7F"/>
              <w:bottom w:val="single" w:sz="8" w:space="0" w:color="CCCCCC"/>
              <w:right w:val="nil"/>
            </w:tcBorders>
            <w:shd w:val="solid" w:color="FFFFFF" w:fill="FFFF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Sen. Frank Lautenberg</w:t>
            </w:r>
          </w:p>
        </w:tc>
        <w:tc>
          <w:tcPr>
            <w:tcW w:w="4016" w:type="dxa"/>
            <w:tcBorders>
              <w:top w:val="nil"/>
              <w:left w:val="nil"/>
              <w:bottom w:val="single" w:sz="8" w:space="0" w:color="CCCCCC"/>
              <w:right w:val="nil"/>
            </w:tcBorders>
            <w:shd w:val="solid" w:color="FFFFFF" w:fill="FFFF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The charitable foundation of the New Jersey Senator's family</w:t>
            </w:r>
          </w:p>
        </w:tc>
        <w:tc>
          <w:tcPr>
            <w:tcW w:w="1800" w:type="dxa"/>
            <w:tcBorders>
              <w:top w:val="nil"/>
              <w:left w:val="nil"/>
              <w:bottom w:val="single" w:sz="8" w:space="0" w:color="CCCCCC"/>
              <w:right w:val="single" w:sz="8" w:space="0" w:color="7F7F7F"/>
            </w:tcBorders>
            <w:shd w:val="solid" w:color="FFFFFF" w:fill="FFFF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N/A</w:t>
            </w:r>
          </w:p>
        </w:tc>
      </w:tr>
      <w:tr w:rsidR="00CF63AB" w:rsidRPr="00CF63AB">
        <w:tblPrEx>
          <w:tblCellMar>
            <w:top w:w="0" w:type="dxa"/>
            <w:bottom w:w="0" w:type="dxa"/>
          </w:tblCellMar>
        </w:tblPrEx>
        <w:trPr>
          <w:trHeight w:val="335"/>
        </w:trPr>
        <w:tc>
          <w:tcPr>
            <w:tcW w:w="2826" w:type="dxa"/>
            <w:tcBorders>
              <w:top w:val="nil"/>
              <w:left w:val="single" w:sz="8" w:space="0" w:color="7F7F7F"/>
              <w:bottom w:val="single" w:sz="8" w:space="0" w:color="CCCCCC"/>
              <w:right w:val="nil"/>
            </w:tcBorders>
            <w:shd w:val="solid" w:color="EDF5FF" w:fill="EDF5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Norman Braman</w:t>
            </w:r>
          </w:p>
        </w:tc>
        <w:tc>
          <w:tcPr>
            <w:tcW w:w="4016" w:type="dxa"/>
            <w:tcBorders>
              <w:top w:val="nil"/>
              <w:left w:val="nil"/>
              <w:bottom w:val="single" w:sz="8" w:space="0" w:color="CCCCCC"/>
              <w:right w:val="nil"/>
            </w:tcBorders>
            <w:shd w:val="solid" w:color="EDF5FF" w:fill="EDF5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former owner of Philadelphia Eagles</w:t>
            </w:r>
          </w:p>
        </w:tc>
        <w:tc>
          <w:tcPr>
            <w:tcW w:w="1800" w:type="dxa"/>
            <w:tcBorders>
              <w:top w:val="nil"/>
              <w:left w:val="nil"/>
              <w:bottom w:val="single" w:sz="8" w:space="0" w:color="CCCCCC"/>
              <w:right w:val="single" w:sz="8" w:space="0" w:color="7F7F7F"/>
            </w:tcBorders>
            <w:shd w:val="solid" w:color="EDF5FF" w:fill="EDF5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N/A</w:t>
            </w:r>
          </w:p>
        </w:tc>
      </w:tr>
      <w:tr w:rsidR="00CF63AB" w:rsidRPr="00CF63AB">
        <w:tblPrEx>
          <w:tblCellMar>
            <w:top w:w="0" w:type="dxa"/>
            <w:bottom w:w="0" w:type="dxa"/>
          </w:tblCellMar>
        </w:tblPrEx>
        <w:trPr>
          <w:trHeight w:val="589"/>
        </w:trPr>
        <w:tc>
          <w:tcPr>
            <w:tcW w:w="2826" w:type="dxa"/>
            <w:tcBorders>
              <w:top w:val="nil"/>
              <w:left w:val="single" w:sz="8" w:space="0" w:color="7F7F7F"/>
              <w:bottom w:val="single" w:sz="8" w:space="0" w:color="CCCCCC"/>
              <w:right w:val="nil"/>
            </w:tcBorders>
            <w:shd w:val="solid" w:color="FFFFFF" w:fill="FFFF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Jeffrey Katzenberg</w:t>
            </w:r>
          </w:p>
        </w:tc>
        <w:tc>
          <w:tcPr>
            <w:tcW w:w="4016" w:type="dxa"/>
            <w:tcBorders>
              <w:top w:val="nil"/>
              <w:left w:val="nil"/>
              <w:bottom w:val="single" w:sz="8" w:space="0" w:color="CCCCCC"/>
              <w:right w:val="nil"/>
            </w:tcBorders>
            <w:shd w:val="solid" w:color="FFFFFF" w:fill="FFFF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The chief executive of DreamWorks Animation SKG Inc.</w:t>
            </w:r>
          </w:p>
        </w:tc>
        <w:tc>
          <w:tcPr>
            <w:tcW w:w="1800" w:type="dxa"/>
            <w:tcBorders>
              <w:top w:val="nil"/>
              <w:left w:val="nil"/>
              <w:bottom w:val="single" w:sz="8" w:space="0" w:color="CCCCCC"/>
              <w:right w:val="single" w:sz="8" w:space="0" w:color="7F7F7F"/>
            </w:tcBorders>
            <w:shd w:val="solid" w:color="FFFFFF" w:fill="FFFF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N/A</w:t>
            </w:r>
          </w:p>
        </w:tc>
      </w:tr>
      <w:tr w:rsidR="00CF63AB" w:rsidRPr="00CF63AB">
        <w:tblPrEx>
          <w:tblCellMar>
            <w:top w:w="0" w:type="dxa"/>
            <w:bottom w:w="0" w:type="dxa"/>
          </w:tblCellMar>
        </w:tblPrEx>
        <w:trPr>
          <w:trHeight w:val="844"/>
        </w:trPr>
        <w:tc>
          <w:tcPr>
            <w:tcW w:w="2826" w:type="dxa"/>
            <w:tcBorders>
              <w:top w:val="nil"/>
              <w:left w:val="single" w:sz="8" w:space="0" w:color="7F7F7F"/>
              <w:bottom w:val="single" w:sz="8" w:space="0" w:color="CCCCCC"/>
              <w:right w:val="nil"/>
            </w:tcBorders>
            <w:shd w:val="solid" w:color="EDF5FF" w:fill="EDF5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Gerald Breslauer</w:t>
            </w:r>
          </w:p>
        </w:tc>
        <w:tc>
          <w:tcPr>
            <w:tcW w:w="4016" w:type="dxa"/>
            <w:tcBorders>
              <w:top w:val="nil"/>
              <w:left w:val="nil"/>
              <w:bottom w:val="single" w:sz="8" w:space="0" w:color="CCCCCC"/>
              <w:right w:val="nil"/>
            </w:tcBorders>
            <w:shd w:val="solid" w:color="EDF5FF" w:fill="EDF5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The Hollywood financial advisor to Steven Spielberg and Jeffrey Katzenberg</w:t>
            </w:r>
          </w:p>
        </w:tc>
        <w:tc>
          <w:tcPr>
            <w:tcW w:w="1800" w:type="dxa"/>
            <w:tcBorders>
              <w:top w:val="nil"/>
              <w:left w:val="nil"/>
              <w:bottom w:val="single" w:sz="8" w:space="0" w:color="CCCCCC"/>
              <w:right w:val="single" w:sz="8" w:space="0" w:color="7F7F7F"/>
            </w:tcBorders>
            <w:shd w:val="solid" w:color="EDF5FF" w:fill="EDF5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N/A</w:t>
            </w:r>
          </w:p>
        </w:tc>
      </w:tr>
      <w:tr w:rsidR="00CF63AB" w:rsidRPr="00CF63AB">
        <w:tblPrEx>
          <w:tblCellMar>
            <w:top w:w="0" w:type="dxa"/>
            <w:bottom w:w="0" w:type="dxa"/>
          </w:tblCellMar>
        </w:tblPrEx>
        <w:trPr>
          <w:trHeight w:val="589"/>
        </w:trPr>
        <w:tc>
          <w:tcPr>
            <w:tcW w:w="2826" w:type="dxa"/>
            <w:tcBorders>
              <w:top w:val="nil"/>
              <w:left w:val="single" w:sz="8" w:space="0" w:color="7F7F7F"/>
              <w:bottom w:val="single" w:sz="8" w:space="0" w:color="CCCCCC"/>
              <w:right w:val="nil"/>
            </w:tcBorders>
            <w:shd w:val="solid" w:color="EDF5FF" w:fill="EDF5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Royal Dutch Shell pension fund</w:t>
            </w:r>
          </w:p>
        </w:tc>
        <w:tc>
          <w:tcPr>
            <w:tcW w:w="4016" w:type="dxa"/>
            <w:tcBorders>
              <w:top w:val="nil"/>
              <w:left w:val="nil"/>
              <w:bottom w:val="single" w:sz="8" w:space="0" w:color="CCCCCC"/>
              <w:right w:val="nil"/>
            </w:tcBorders>
            <w:shd w:val="solid" w:color="EDF5FF" w:fill="EDF5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Global energy and petrochemical company</w:t>
            </w:r>
          </w:p>
        </w:tc>
        <w:tc>
          <w:tcPr>
            <w:tcW w:w="1800" w:type="dxa"/>
            <w:tcBorders>
              <w:top w:val="nil"/>
              <w:left w:val="nil"/>
              <w:bottom w:val="single" w:sz="8" w:space="0" w:color="CCCCCC"/>
              <w:right w:val="single" w:sz="8" w:space="0" w:color="7F7F7F"/>
            </w:tcBorders>
            <w:shd w:val="solid" w:color="EDF5FF" w:fill="EDF5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N/A</w:t>
            </w:r>
          </w:p>
        </w:tc>
      </w:tr>
      <w:tr w:rsidR="00CF63AB" w:rsidRPr="00CF63AB">
        <w:tblPrEx>
          <w:tblCellMar>
            <w:top w:w="0" w:type="dxa"/>
            <w:bottom w:w="0" w:type="dxa"/>
          </w:tblCellMar>
        </w:tblPrEx>
        <w:trPr>
          <w:trHeight w:val="335"/>
        </w:trPr>
        <w:tc>
          <w:tcPr>
            <w:tcW w:w="2826" w:type="dxa"/>
            <w:tcBorders>
              <w:top w:val="nil"/>
              <w:left w:val="single" w:sz="8" w:space="0" w:color="7F7F7F"/>
              <w:bottom w:val="single" w:sz="8" w:space="0" w:color="CCCCCC"/>
              <w:right w:val="nil"/>
            </w:tcBorders>
            <w:shd w:val="solid" w:color="EDF5FF" w:fill="EDF5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New York Law School</w:t>
            </w:r>
          </w:p>
        </w:tc>
        <w:tc>
          <w:tcPr>
            <w:tcW w:w="4016" w:type="dxa"/>
            <w:tcBorders>
              <w:top w:val="nil"/>
              <w:left w:val="nil"/>
              <w:bottom w:val="single" w:sz="8" w:space="0" w:color="CCCCCC"/>
              <w:right w:val="nil"/>
            </w:tcBorders>
            <w:shd w:val="solid" w:color="EDF5FF" w:fill="EDF5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law school in New York City</w:t>
            </w:r>
          </w:p>
        </w:tc>
        <w:tc>
          <w:tcPr>
            <w:tcW w:w="1800" w:type="dxa"/>
            <w:tcBorders>
              <w:top w:val="nil"/>
              <w:left w:val="nil"/>
              <w:bottom w:val="single" w:sz="8" w:space="0" w:color="CCCCCC"/>
              <w:right w:val="single" w:sz="8" w:space="0" w:color="7F7F7F"/>
            </w:tcBorders>
            <w:shd w:val="solid" w:color="EDF5FF" w:fill="EDF5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$300,000</w:t>
            </w:r>
          </w:p>
        </w:tc>
      </w:tr>
      <w:tr w:rsidR="00CF63AB" w:rsidRPr="00CF63AB">
        <w:tblPrEx>
          <w:tblCellMar>
            <w:top w:w="0" w:type="dxa"/>
            <w:bottom w:w="0" w:type="dxa"/>
          </w:tblCellMar>
        </w:tblPrEx>
        <w:trPr>
          <w:trHeight w:val="335"/>
        </w:trPr>
        <w:tc>
          <w:tcPr>
            <w:tcW w:w="2826" w:type="dxa"/>
            <w:tcBorders>
              <w:top w:val="nil"/>
              <w:left w:val="single" w:sz="8" w:space="0" w:color="7F7F7F"/>
              <w:bottom w:val="single" w:sz="8" w:space="0" w:color="CCCCCC"/>
              <w:right w:val="nil"/>
            </w:tcBorders>
            <w:shd w:val="solid" w:color="EDF5FF" w:fill="EDF5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J. Gurwin Foundation</w:t>
            </w:r>
          </w:p>
        </w:tc>
        <w:tc>
          <w:tcPr>
            <w:tcW w:w="4016" w:type="dxa"/>
            <w:tcBorders>
              <w:top w:val="nil"/>
              <w:left w:val="nil"/>
              <w:bottom w:val="single" w:sz="8" w:space="0" w:color="CCCCCC"/>
              <w:right w:val="nil"/>
            </w:tcBorders>
            <w:shd w:val="solid" w:color="EDF5FF" w:fill="EDF5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Charity</w:t>
            </w:r>
          </w:p>
        </w:tc>
        <w:tc>
          <w:tcPr>
            <w:tcW w:w="1800" w:type="dxa"/>
            <w:tcBorders>
              <w:top w:val="nil"/>
              <w:left w:val="nil"/>
              <w:bottom w:val="single" w:sz="8" w:space="0" w:color="CCCCCC"/>
              <w:right w:val="single" w:sz="8" w:space="0" w:color="7F7F7F"/>
            </w:tcBorders>
            <w:shd w:val="solid" w:color="EDF5FF" w:fill="EDF5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N/A</w:t>
            </w:r>
          </w:p>
        </w:tc>
      </w:tr>
      <w:tr w:rsidR="00CF63AB" w:rsidRPr="00CF63AB">
        <w:tblPrEx>
          <w:tblCellMar>
            <w:top w:w="0" w:type="dxa"/>
            <w:bottom w:w="0" w:type="dxa"/>
          </w:tblCellMar>
        </w:tblPrEx>
        <w:trPr>
          <w:trHeight w:val="589"/>
        </w:trPr>
        <w:tc>
          <w:tcPr>
            <w:tcW w:w="2826" w:type="dxa"/>
            <w:tcBorders>
              <w:top w:val="nil"/>
              <w:left w:val="single" w:sz="8" w:space="0" w:color="7F7F7F"/>
              <w:bottom w:val="single" w:sz="8" w:space="0" w:color="CCCCCC"/>
              <w:right w:val="nil"/>
            </w:tcBorders>
            <w:shd w:val="solid" w:color="EDF5FF" w:fill="EDF5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Fire and Police Pension Association of Colorado</w:t>
            </w:r>
          </w:p>
        </w:tc>
        <w:tc>
          <w:tcPr>
            <w:tcW w:w="4016" w:type="dxa"/>
            <w:tcBorders>
              <w:top w:val="nil"/>
              <w:left w:val="nil"/>
              <w:bottom w:val="single" w:sz="8" w:space="0" w:color="CCCCCC"/>
              <w:right w:val="nil"/>
            </w:tcBorders>
            <w:shd w:val="solid" w:color="EDF5FF" w:fill="EDF5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Pension fund</w:t>
            </w:r>
          </w:p>
        </w:tc>
        <w:tc>
          <w:tcPr>
            <w:tcW w:w="1800" w:type="dxa"/>
            <w:tcBorders>
              <w:top w:val="nil"/>
              <w:left w:val="nil"/>
              <w:bottom w:val="single" w:sz="8" w:space="0" w:color="CCCCCC"/>
              <w:right w:val="single" w:sz="8" w:space="0" w:color="7F7F7F"/>
            </w:tcBorders>
            <w:shd w:val="solid" w:color="EDF5FF" w:fill="EDF5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N/A</w:t>
            </w:r>
          </w:p>
        </w:tc>
      </w:tr>
      <w:tr w:rsidR="00CF63AB" w:rsidRPr="00CF63AB">
        <w:tblPrEx>
          <w:tblCellMar>
            <w:top w:w="0" w:type="dxa"/>
            <w:bottom w:w="0" w:type="dxa"/>
          </w:tblCellMar>
        </w:tblPrEx>
        <w:trPr>
          <w:trHeight w:val="589"/>
        </w:trPr>
        <w:tc>
          <w:tcPr>
            <w:tcW w:w="2826" w:type="dxa"/>
            <w:tcBorders>
              <w:top w:val="nil"/>
              <w:left w:val="single" w:sz="8" w:space="0" w:color="7F7F7F"/>
              <w:bottom w:val="single" w:sz="8" w:space="0" w:color="CCCCCC"/>
              <w:right w:val="nil"/>
            </w:tcBorders>
            <w:shd w:val="solid" w:color="FFFFFF" w:fill="FFFF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International Olympic Committee</w:t>
            </w:r>
          </w:p>
        </w:tc>
        <w:tc>
          <w:tcPr>
            <w:tcW w:w="4016" w:type="dxa"/>
            <w:tcBorders>
              <w:top w:val="nil"/>
              <w:left w:val="nil"/>
              <w:bottom w:val="single" w:sz="8" w:space="0" w:color="CCCCCC"/>
              <w:right w:val="nil"/>
            </w:tcBorders>
            <w:shd w:val="solid" w:color="FFFFFF" w:fill="FFFF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Olympic organizer</w:t>
            </w:r>
          </w:p>
        </w:tc>
        <w:tc>
          <w:tcPr>
            <w:tcW w:w="1800" w:type="dxa"/>
            <w:tcBorders>
              <w:top w:val="nil"/>
              <w:left w:val="nil"/>
              <w:bottom w:val="single" w:sz="8" w:space="0" w:color="CCCCCC"/>
              <w:right w:val="single" w:sz="8" w:space="0" w:color="7F7F7F"/>
            </w:tcBorders>
            <w:shd w:val="solid" w:color="FFFFFF" w:fill="FFFF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$4,800,000</w:t>
            </w:r>
          </w:p>
        </w:tc>
      </w:tr>
      <w:tr w:rsidR="00CF63AB" w:rsidRPr="00CF63AB">
        <w:tblPrEx>
          <w:tblCellMar>
            <w:top w:w="0" w:type="dxa"/>
            <w:bottom w:w="0" w:type="dxa"/>
          </w:tblCellMar>
        </w:tblPrEx>
        <w:trPr>
          <w:trHeight w:val="589"/>
        </w:trPr>
        <w:tc>
          <w:tcPr>
            <w:tcW w:w="2826" w:type="dxa"/>
            <w:tcBorders>
              <w:top w:val="nil"/>
              <w:left w:val="single" w:sz="8" w:space="0" w:color="7F7F7F"/>
              <w:bottom w:val="single" w:sz="8" w:space="0" w:color="CCCCCC"/>
              <w:right w:val="nil"/>
            </w:tcBorders>
            <w:shd w:val="solid" w:color="EDF5FF" w:fill="EDF5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Kevin Bacon and wife Kyra Sedgwick</w:t>
            </w:r>
          </w:p>
        </w:tc>
        <w:tc>
          <w:tcPr>
            <w:tcW w:w="4016" w:type="dxa"/>
            <w:tcBorders>
              <w:top w:val="nil"/>
              <w:left w:val="nil"/>
              <w:bottom w:val="single" w:sz="8" w:space="0" w:color="CCCCCC"/>
              <w:right w:val="nil"/>
            </w:tcBorders>
            <w:shd w:val="solid" w:color="EDF5FF" w:fill="EDF5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Hollywood actors</w:t>
            </w:r>
          </w:p>
        </w:tc>
        <w:tc>
          <w:tcPr>
            <w:tcW w:w="1800" w:type="dxa"/>
            <w:tcBorders>
              <w:top w:val="nil"/>
              <w:left w:val="nil"/>
              <w:bottom w:val="single" w:sz="8" w:space="0" w:color="CCCCCC"/>
              <w:right w:val="single" w:sz="8" w:space="0" w:color="7F7F7F"/>
            </w:tcBorders>
            <w:shd w:val="solid" w:color="EDF5FF" w:fill="EDF5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N/A</w:t>
            </w:r>
          </w:p>
        </w:tc>
      </w:tr>
      <w:tr w:rsidR="00CF63AB" w:rsidRPr="00CF63AB">
        <w:tblPrEx>
          <w:tblCellMar>
            <w:top w:w="0" w:type="dxa"/>
            <w:bottom w:w="0" w:type="dxa"/>
          </w:tblCellMar>
        </w:tblPrEx>
        <w:trPr>
          <w:trHeight w:val="335"/>
        </w:trPr>
        <w:tc>
          <w:tcPr>
            <w:tcW w:w="2826" w:type="dxa"/>
            <w:tcBorders>
              <w:top w:val="nil"/>
              <w:left w:val="single" w:sz="8" w:space="0" w:color="7F7F7F"/>
              <w:bottom w:val="single" w:sz="8" w:space="0" w:color="CCCCCC"/>
              <w:right w:val="nil"/>
            </w:tcBorders>
            <w:shd w:val="solid" w:color="FFFFFF" w:fill="FFFF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Eric Roth</w:t>
            </w:r>
          </w:p>
        </w:tc>
        <w:tc>
          <w:tcPr>
            <w:tcW w:w="4016" w:type="dxa"/>
            <w:tcBorders>
              <w:top w:val="nil"/>
              <w:left w:val="nil"/>
              <w:bottom w:val="single" w:sz="8" w:space="0" w:color="CCCCCC"/>
              <w:right w:val="nil"/>
            </w:tcBorders>
            <w:shd w:val="solid" w:color="FFFFFF" w:fill="FFFF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Hollywood screenwriter</w:t>
            </w:r>
          </w:p>
        </w:tc>
        <w:tc>
          <w:tcPr>
            <w:tcW w:w="1800" w:type="dxa"/>
            <w:tcBorders>
              <w:top w:val="nil"/>
              <w:left w:val="nil"/>
              <w:bottom w:val="single" w:sz="8" w:space="0" w:color="CCCCCC"/>
              <w:right w:val="single" w:sz="8" w:space="0" w:color="7F7F7F"/>
            </w:tcBorders>
            <w:shd w:val="solid" w:color="FFFFFF" w:fill="FFFF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N/A</w:t>
            </w:r>
          </w:p>
        </w:tc>
      </w:tr>
      <w:tr w:rsidR="00CF63AB" w:rsidRPr="00CF63AB">
        <w:tblPrEx>
          <w:tblCellMar>
            <w:top w:w="0" w:type="dxa"/>
            <w:bottom w:w="0" w:type="dxa"/>
          </w:tblCellMar>
        </w:tblPrEx>
        <w:trPr>
          <w:trHeight w:val="589"/>
        </w:trPr>
        <w:tc>
          <w:tcPr>
            <w:tcW w:w="2826" w:type="dxa"/>
            <w:tcBorders>
              <w:top w:val="nil"/>
              <w:left w:val="single" w:sz="8" w:space="0" w:color="7F7F7F"/>
              <w:bottom w:val="single" w:sz="8" w:space="0" w:color="CCCCCC"/>
              <w:right w:val="nil"/>
            </w:tcBorders>
            <w:shd w:val="solid" w:color="EDF5FF" w:fill="EDF5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Henry Kaufman</w:t>
            </w:r>
          </w:p>
        </w:tc>
        <w:tc>
          <w:tcPr>
            <w:tcW w:w="4016" w:type="dxa"/>
            <w:tcBorders>
              <w:top w:val="nil"/>
              <w:left w:val="nil"/>
              <w:bottom w:val="single" w:sz="8" w:space="0" w:color="CCCCCC"/>
              <w:right w:val="nil"/>
            </w:tcBorders>
            <w:shd w:val="solid" w:color="EDF5FF" w:fill="EDF5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Individual investor, former Salomon Brothers chief economist</w:t>
            </w:r>
          </w:p>
        </w:tc>
        <w:tc>
          <w:tcPr>
            <w:tcW w:w="1800" w:type="dxa"/>
            <w:tcBorders>
              <w:top w:val="nil"/>
              <w:left w:val="nil"/>
              <w:bottom w:val="single" w:sz="8" w:space="0" w:color="CCCCCC"/>
              <w:right w:val="single" w:sz="8" w:space="0" w:color="7F7F7F"/>
            </w:tcBorders>
            <w:shd w:val="solid" w:color="EDF5FF" w:fill="EDF5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N/A</w:t>
            </w:r>
          </w:p>
        </w:tc>
      </w:tr>
      <w:tr w:rsidR="00CF63AB" w:rsidRPr="00CF63AB">
        <w:tblPrEx>
          <w:tblCellMar>
            <w:top w:w="0" w:type="dxa"/>
            <w:bottom w:w="0" w:type="dxa"/>
          </w:tblCellMar>
        </w:tblPrEx>
        <w:trPr>
          <w:trHeight w:val="335"/>
        </w:trPr>
        <w:tc>
          <w:tcPr>
            <w:tcW w:w="2826" w:type="dxa"/>
            <w:tcBorders>
              <w:top w:val="nil"/>
              <w:left w:val="single" w:sz="8" w:space="0" w:color="7F7F7F"/>
              <w:bottom w:val="single" w:sz="8" w:space="0" w:color="CCCCCC"/>
              <w:right w:val="nil"/>
            </w:tcBorders>
            <w:shd w:val="solid" w:color="FFFFFF" w:fill="FFFF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New York University</w:t>
            </w:r>
          </w:p>
        </w:tc>
        <w:tc>
          <w:tcPr>
            <w:tcW w:w="4016" w:type="dxa"/>
            <w:tcBorders>
              <w:top w:val="nil"/>
              <w:left w:val="nil"/>
              <w:bottom w:val="single" w:sz="8" w:space="0" w:color="CCCCCC"/>
              <w:right w:val="nil"/>
            </w:tcBorders>
            <w:shd w:val="solid" w:color="FFFFFF" w:fill="FFFF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 xml:space="preserve">University </w:t>
            </w:r>
          </w:p>
        </w:tc>
        <w:tc>
          <w:tcPr>
            <w:tcW w:w="1800" w:type="dxa"/>
            <w:tcBorders>
              <w:top w:val="nil"/>
              <w:left w:val="nil"/>
              <w:bottom w:val="single" w:sz="8" w:space="0" w:color="CCCCCC"/>
              <w:right w:val="single" w:sz="8" w:space="0" w:color="7F7F7F"/>
            </w:tcBorders>
            <w:shd w:val="solid" w:color="FFFFFF" w:fill="FFFF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$24,000,000</w:t>
            </w:r>
          </w:p>
        </w:tc>
      </w:tr>
      <w:tr w:rsidR="00CF63AB" w:rsidRPr="00CF63AB">
        <w:tblPrEx>
          <w:tblCellMar>
            <w:top w:w="0" w:type="dxa"/>
            <w:bottom w:w="0" w:type="dxa"/>
          </w:tblCellMar>
        </w:tblPrEx>
        <w:trPr>
          <w:trHeight w:val="589"/>
        </w:trPr>
        <w:tc>
          <w:tcPr>
            <w:tcW w:w="2826" w:type="dxa"/>
            <w:tcBorders>
              <w:top w:val="nil"/>
              <w:left w:val="single" w:sz="8" w:space="0" w:color="7F7F7F"/>
              <w:bottom w:val="single" w:sz="8" w:space="0" w:color="CCCCCC"/>
              <w:right w:val="nil"/>
            </w:tcBorders>
            <w:shd w:val="solid" w:color="FFFFFF" w:fill="FFFF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lastRenderedPageBreak/>
              <w:t>Burt Ross</w:t>
            </w:r>
          </w:p>
        </w:tc>
        <w:tc>
          <w:tcPr>
            <w:tcW w:w="4016" w:type="dxa"/>
            <w:tcBorders>
              <w:top w:val="nil"/>
              <w:left w:val="nil"/>
              <w:bottom w:val="single" w:sz="8" w:space="0" w:color="CCCCCC"/>
              <w:right w:val="nil"/>
            </w:tcBorders>
            <w:shd w:val="solid" w:color="FFFFFF" w:fill="FFFF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former mayor of a town in New Jersey</w:t>
            </w:r>
          </w:p>
        </w:tc>
        <w:tc>
          <w:tcPr>
            <w:tcW w:w="1800" w:type="dxa"/>
            <w:tcBorders>
              <w:top w:val="nil"/>
              <w:left w:val="nil"/>
              <w:bottom w:val="single" w:sz="8" w:space="0" w:color="CCCCCC"/>
              <w:right w:val="single" w:sz="8" w:space="0" w:color="7F7F7F"/>
            </w:tcBorders>
            <w:shd w:val="solid" w:color="FFFFFF" w:fill="FFFF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$5,000,000</w:t>
            </w:r>
          </w:p>
        </w:tc>
      </w:tr>
      <w:tr w:rsidR="00CF63AB" w:rsidRPr="00CF63AB">
        <w:tblPrEx>
          <w:tblCellMar>
            <w:top w:w="0" w:type="dxa"/>
            <w:bottom w:w="0" w:type="dxa"/>
          </w:tblCellMar>
        </w:tblPrEx>
        <w:trPr>
          <w:trHeight w:val="589"/>
        </w:trPr>
        <w:tc>
          <w:tcPr>
            <w:tcW w:w="2826" w:type="dxa"/>
            <w:tcBorders>
              <w:top w:val="nil"/>
              <w:left w:val="single" w:sz="8" w:space="0" w:color="7F7F7F"/>
              <w:bottom w:val="single" w:sz="8" w:space="0" w:color="CCCCCC"/>
              <w:right w:val="nil"/>
            </w:tcBorders>
            <w:shd w:val="solid" w:color="EDF5FF" w:fill="EDF5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 xml:space="preserve">Gabriel Partners </w:t>
            </w:r>
          </w:p>
        </w:tc>
        <w:tc>
          <w:tcPr>
            <w:tcW w:w="4016" w:type="dxa"/>
            <w:tcBorders>
              <w:top w:val="nil"/>
              <w:left w:val="nil"/>
              <w:bottom w:val="single" w:sz="8" w:space="0" w:color="CCCCCC"/>
              <w:right w:val="nil"/>
            </w:tcBorders>
            <w:shd w:val="solid" w:color="EDF5FF" w:fill="EDF5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Money-management firm run by GMAC Chairman Ezra Merkin.</w:t>
            </w:r>
          </w:p>
        </w:tc>
        <w:tc>
          <w:tcPr>
            <w:tcW w:w="1800" w:type="dxa"/>
            <w:tcBorders>
              <w:top w:val="nil"/>
              <w:left w:val="nil"/>
              <w:bottom w:val="single" w:sz="8" w:space="0" w:color="CCCCCC"/>
              <w:right w:val="single" w:sz="8" w:space="0" w:color="7F7F7F"/>
            </w:tcBorders>
            <w:shd w:val="solid" w:color="EDF5FF" w:fill="EDF5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N/A</w:t>
            </w:r>
          </w:p>
        </w:tc>
      </w:tr>
      <w:tr w:rsidR="00CF63AB" w:rsidRPr="00CF63AB">
        <w:tblPrEx>
          <w:tblCellMar>
            <w:top w:w="0" w:type="dxa"/>
            <w:bottom w:w="0" w:type="dxa"/>
          </w:tblCellMar>
        </w:tblPrEx>
        <w:trPr>
          <w:trHeight w:val="589"/>
        </w:trPr>
        <w:tc>
          <w:tcPr>
            <w:tcW w:w="2826" w:type="dxa"/>
            <w:tcBorders>
              <w:top w:val="nil"/>
              <w:left w:val="single" w:sz="8" w:space="0" w:color="7F7F7F"/>
              <w:bottom w:val="single" w:sz="8" w:space="0" w:color="CCCCCC"/>
              <w:right w:val="nil"/>
            </w:tcBorders>
            <w:shd w:val="solid" w:color="FFFFFF" w:fill="FFFF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 xml:space="preserve">The Diocese of St. Thomas </w:t>
            </w:r>
          </w:p>
        </w:tc>
        <w:tc>
          <w:tcPr>
            <w:tcW w:w="4016" w:type="dxa"/>
            <w:tcBorders>
              <w:top w:val="nil"/>
              <w:left w:val="nil"/>
              <w:bottom w:val="single" w:sz="8" w:space="0" w:color="CCCCCC"/>
              <w:right w:val="nil"/>
            </w:tcBorders>
            <w:shd w:val="solid" w:color="FFFFFF" w:fill="FFFF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Catholic church in the U.S. Virgin Islands</w:t>
            </w:r>
          </w:p>
        </w:tc>
        <w:tc>
          <w:tcPr>
            <w:tcW w:w="1800" w:type="dxa"/>
            <w:tcBorders>
              <w:top w:val="nil"/>
              <w:left w:val="nil"/>
              <w:bottom w:val="single" w:sz="8" w:space="0" w:color="CCCCCC"/>
              <w:right w:val="single" w:sz="8" w:space="0" w:color="7F7F7F"/>
            </w:tcBorders>
            <w:shd w:val="solid" w:color="FFFFFF" w:fill="FFFF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$2,000,000</w:t>
            </w:r>
          </w:p>
        </w:tc>
      </w:tr>
      <w:tr w:rsidR="00CF63AB" w:rsidRPr="00CF63AB">
        <w:tblPrEx>
          <w:tblCellMar>
            <w:top w:w="0" w:type="dxa"/>
            <w:bottom w:w="0" w:type="dxa"/>
          </w:tblCellMar>
        </w:tblPrEx>
        <w:trPr>
          <w:trHeight w:val="1352"/>
        </w:trPr>
        <w:tc>
          <w:tcPr>
            <w:tcW w:w="2826" w:type="dxa"/>
            <w:tcBorders>
              <w:top w:val="nil"/>
              <w:left w:val="single" w:sz="8" w:space="0" w:color="7F7F7F"/>
              <w:bottom w:val="single" w:sz="8" w:space="0" w:color="CCCCCC"/>
              <w:right w:val="nil"/>
            </w:tcBorders>
            <w:shd w:val="solid" w:color="FFFFFF" w:fill="FFFF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Members of the Hillcrest Golf Club of St. Paul, Minn. and Oak Ridge Country Club in Hopkins, Minn.</w:t>
            </w:r>
          </w:p>
        </w:tc>
        <w:tc>
          <w:tcPr>
            <w:tcW w:w="4016" w:type="dxa"/>
            <w:tcBorders>
              <w:top w:val="nil"/>
              <w:left w:val="nil"/>
              <w:bottom w:val="single" w:sz="8" w:space="0" w:color="CCCCCC"/>
              <w:right w:val="nil"/>
            </w:tcBorders>
            <w:shd w:val="solid" w:color="FFFFFF" w:fill="FFFF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country clubs</w:t>
            </w:r>
          </w:p>
        </w:tc>
        <w:tc>
          <w:tcPr>
            <w:tcW w:w="1800" w:type="dxa"/>
            <w:tcBorders>
              <w:top w:val="nil"/>
              <w:left w:val="nil"/>
              <w:bottom w:val="single" w:sz="8" w:space="0" w:color="CCCCCC"/>
              <w:right w:val="single" w:sz="8" w:space="0" w:color="7F7F7F"/>
            </w:tcBorders>
            <w:shd w:val="solid" w:color="FFFFFF" w:fill="FFFF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N/A</w:t>
            </w:r>
          </w:p>
        </w:tc>
      </w:tr>
      <w:tr w:rsidR="00CF63AB" w:rsidRPr="00CF63AB">
        <w:tblPrEx>
          <w:tblCellMar>
            <w:top w:w="0" w:type="dxa"/>
            <w:bottom w:w="0" w:type="dxa"/>
          </w:tblCellMar>
        </w:tblPrEx>
        <w:trPr>
          <w:trHeight w:val="335"/>
        </w:trPr>
        <w:tc>
          <w:tcPr>
            <w:tcW w:w="2826" w:type="dxa"/>
            <w:tcBorders>
              <w:top w:val="nil"/>
              <w:left w:val="single" w:sz="8" w:space="0" w:color="7F7F7F"/>
              <w:bottom w:val="single" w:sz="8" w:space="0" w:color="CCCCCC"/>
              <w:right w:val="nil"/>
            </w:tcBorders>
            <w:shd w:val="solid" w:color="EDF5FF" w:fill="EDF5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Bard College</w:t>
            </w:r>
          </w:p>
        </w:tc>
        <w:tc>
          <w:tcPr>
            <w:tcW w:w="4016" w:type="dxa"/>
            <w:tcBorders>
              <w:top w:val="nil"/>
              <w:left w:val="nil"/>
              <w:bottom w:val="single" w:sz="8" w:space="0" w:color="CCCCCC"/>
              <w:right w:val="nil"/>
            </w:tcBorders>
            <w:shd w:val="solid" w:color="EDF5FF" w:fill="EDF5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University in New York</w:t>
            </w:r>
          </w:p>
        </w:tc>
        <w:tc>
          <w:tcPr>
            <w:tcW w:w="1800" w:type="dxa"/>
            <w:tcBorders>
              <w:top w:val="nil"/>
              <w:left w:val="nil"/>
              <w:bottom w:val="single" w:sz="8" w:space="0" w:color="CCCCCC"/>
              <w:right w:val="single" w:sz="8" w:space="0" w:color="7F7F7F"/>
            </w:tcBorders>
            <w:shd w:val="solid" w:color="EDF5FF" w:fill="EDF5FF"/>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$3,000,000</w:t>
            </w:r>
          </w:p>
        </w:tc>
      </w:tr>
      <w:tr w:rsidR="00CF63AB" w:rsidRPr="00CF63AB">
        <w:tblPrEx>
          <w:tblCellMar>
            <w:top w:w="0" w:type="dxa"/>
            <w:bottom w:w="0" w:type="dxa"/>
          </w:tblCellMar>
        </w:tblPrEx>
        <w:trPr>
          <w:trHeight w:val="589"/>
        </w:trPr>
        <w:tc>
          <w:tcPr>
            <w:tcW w:w="2826" w:type="dxa"/>
            <w:tcBorders>
              <w:top w:val="nil"/>
              <w:left w:val="single" w:sz="8" w:space="0" w:color="7F7F7F"/>
              <w:bottom w:val="single" w:sz="8" w:space="0" w:color="7F7F7F"/>
              <w:right w:val="nil"/>
            </w:tcBorders>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Martin Rosenman</w:t>
            </w:r>
          </w:p>
        </w:tc>
        <w:tc>
          <w:tcPr>
            <w:tcW w:w="4016" w:type="dxa"/>
            <w:tcBorders>
              <w:top w:val="nil"/>
              <w:left w:val="nil"/>
              <w:bottom w:val="single" w:sz="8" w:space="0" w:color="7F7F7F"/>
              <w:right w:val="nil"/>
            </w:tcBorders>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New York City-based heating oil distributor</w:t>
            </w:r>
          </w:p>
        </w:tc>
        <w:tc>
          <w:tcPr>
            <w:tcW w:w="1800" w:type="dxa"/>
            <w:tcBorders>
              <w:top w:val="nil"/>
              <w:left w:val="nil"/>
              <w:bottom w:val="single" w:sz="8" w:space="0" w:color="7F7F7F"/>
              <w:right w:val="single" w:sz="8" w:space="0" w:color="7F7F7F"/>
            </w:tcBorders>
            <w:vAlign w:val="center"/>
          </w:tcPr>
          <w:p w:rsidR="00CF63AB" w:rsidRPr="00CF63AB" w:rsidRDefault="00CF63AB" w:rsidP="00CF63AB">
            <w:pPr>
              <w:overflowPunct w:val="0"/>
              <w:adjustRightInd w:val="0"/>
              <w:spacing w:after="240" w:line="195" w:lineRule="atLeast"/>
              <w:rPr>
                <w:rFonts w:ascii="Calibri" w:eastAsia="Times New Roman" w:hAnsi="Calibri" w:cs="Calibri"/>
                <w:kern w:val="28"/>
                <w:sz w:val="20"/>
                <w:szCs w:val="20"/>
              </w:rPr>
            </w:pPr>
            <w:r w:rsidRPr="00CF63AB">
              <w:rPr>
                <w:rFonts w:ascii="Arial" w:eastAsia="Times New Roman" w:hAnsi="Arial" w:cs="Arial"/>
                <w:noProof/>
                <w:kern w:val="28"/>
                <w:sz w:val="20"/>
                <w:szCs w:val="20"/>
              </w:rPr>
              <w:t>$10,000,000</w:t>
            </w:r>
          </w:p>
        </w:tc>
      </w:tr>
    </w:tbl>
    <w:p w:rsidR="00CF63AB" w:rsidRPr="00CF63AB" w:rsidRDefault="00CF63AB" w:rsidP="00CF63AB">
      <w:pPr>
        <w:autoSpaceDE w:val="0"/>
        <w:autoSpaceDN w:val="0"/>
        <w:adjustRightInd w:val="0"/>
        <w:spacing w:after="0" w:line="240" w:lineRule="auto"/>
        <w:rPr>
          <w:rFonts w:ascii="Calibri" w:eastAsia="Times New Roman" w:hAnsi="Calibri" w:cs="Calibri"/>
          <w:b/>
          <w:bCs/>
          <w:kern w:val="28"/>
        </w:rPr>
      </w:pPr>
    </w:p>
    <w:p w:rsidR="00CF63AB" w:rsidRPr="00CF63AB" w:rsidRDefault="00CF63AB" w:rsidP="00CF63AB">
      <w:pPr>
        <w:widowControl w:val="0"/>
        <w:overflowPunct w:val="0"/>
        <w:autoSpaceDE w:val="0"/>
        <w:autoSpaceDN w:val="0"/>
        <w:adjustRightInd w:val="0"/>
        <w:spacing w:after="0" w:line="240" w:lineRule="auto"/>
        <w:jc w:val="center"/>
        <w:rPr>
          <w:rFonts w:ascii="Calibri" w:eastAsia="Times New Roman" w:hAnsi="Calibri" w:cs="Calibri"/>
          <w:b/>
          <w:bCs/>
          <w:kern w:val="28"/>
        </w:rPr>
      </w:pPr>
    </w:p>
    <w:p w:rsidR="00CF63AB" w:rsidRPr="00CF63AB" w:rsidRDefault="00CF63AB" w:rsidP="00CF63AB">
      <w:pPr>
        <w:widowControl w:val="0"/>
        <w:overflowPunct w:val="0"/>
        <w:autoSpaceDE w:val="0"/>
        <w:autoSpaceDN w:val="0"/>
        <w:adjustRightInd w:val="0"/>
        <w:spacing w:after="0" w:line="240" w:lineRule="auto"/>
        <w:jc w:val="center"/>
        <w:rPr>
          <w:rFonts w:ascii="Calibri" w:eastAsia="Times New Roman" w:hAnsi="Calibri" w:cs="Calibri"/>
          <w:kern w:val="28"/>
        </w:rPr>
      </w:pPr>
      <w:r w:rsidRPr="00CF63AB">
        <w:rPr>
          <w:rFonts w:ascii="Calibri" w:eastAsia="Times New Roman" w:hAnsi="Calibri" w:cs="Calibri"/>
          <w:kern w:val="28"/>
        </w:rPr>
        <w:t>Source: WSJ reporting; Associated Press; the companies and charities.</w:t>
      </w:r>
    </w:p>
    <w:p w:rsidR="00CF63AB" w:rsidRPr="00CF63AB" w:rsidRDefault="00CF63AB" w:rsidP="00CF63AB">
      <w:pPr>
        <w:widowControl w:val="0"/>
        <w:overflowPunct w:val="0"/>
        <w:autoSpaceDE w:val="0"/>
        <w:autoSpaceDN w:val="0"/>
        <w:adjustRightInd w:val="0"/>
        <w:spacing w:after="0" w:line="240" w:lineRule="auto"/>
        <w:jc w:val="center"/>
        <w:rPr>
          <w:rFonts w:ascii="Calibri" w:eastAsia="Times New Roman" w:hAnsi="Calibri" w:cs="Calibri"/>
          <w:kern w:val="28"/>
        </w:rPr>
      </w:pPr>
      <w:r w:rsidRPr="00CF63AB">
        <w:rPr>
          <w:rFonts w:ascii="Calibri" w:eastAsia="Times New Roman" w:hAnsi="Calibri" w:cs="Calibri"/>
          <w:kern w:val="28"/>
        </w:rPr>
        <w:t>wsj.net/public/resources/documents/st_madoff_victims_20081215.html, accessed January 9, 2009.</w:t>
      </w:r>
    </w:p>
    <w:p w:rsidR="006129F6" w:rsidRDefault="006129F6">
      <w:bookmarkStart w:id="0" w:name="_GoBack"/>
      <w:bookmarkEnd w:id="0"/>
    </w:p>
    <w:sectPr w:rsidR="006129F6" w:rsidSect="003061E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3AB"/>
    <w:rsid w:val="006129F6"/>
    <w:rsid w:val="00CF6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nline.wsj.com/article/SB12368799268860980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sj.net/public/resources/documents/st_madoff_victims_20081215.html" TargetMode="External"/><Relationship Id="rId5" Type="http://schemas.openxmlformats.org/officeDocument/2006/relationships/hyperlink" Target="http://news.moneycentral.msn.com/provider/providerarticle.aspx?feed=AP&amp;date=20090105&amp;id=948667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4550</Words>
  <Characters>25941</Characters>
  <Application>Microsoft Office Word</Application>
  <DocSecurity>0</DocSecurity>
  <Lines>216</Lines>
  <Paragraphs>60</Paragraphs>
  <ScaleCrop>false</ScaleCrop>
  <Company>Hewlett-Packard Company</Company>
  <LinksUpToDate>false</LinksUpToDate>
  <CharactersWithSpaces>30431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dcterms:created xsi:type="dcterms:W3CDTF">2012-04-21T20:03:00Z</dcterms:created>
  <dcterms:modified xsi:type="dcterms:W3CDTF">2012-04-21T20:04:00Z</dcterms:modified>
</cp:coreProperties>
</file>