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C5" w:rsidRDefault="000D53C5" w:rsidP="000D53C5">
      <w:pPr>
        <w:pStyle w:val="Heading2"/>
      </w:pPr>
      <w:bookmarkStart w:id="0" w:name="_Toc475442734"/>
      <w:bookmarkStart w:id="1" w:name="_Toc475443746"/>
      <w:bookmarkStart w:id="2" w:name="_Toc475443928"/>
      <w:bookmarkStart w:id="3" w:name="_Toc489437922"/>
      <w:bookmarkStart w:id="4" w:name="_Toc489438139"/>
      <w:bookmarkStart w:id="5" w:name="_Toc489767618"/>
      <w:bookmarkStart w:id="6" w:name="_Toc493747293"/>
      <w:bookmarkStart w:id="7" w:name="_Toc512832553"/>
      <w:bookmarkStart w:id="8" w:name="_Toc512832615"/>
      <w:bookmarkStart w:id="9" w:name="_Toc254181832"/>
      <w:bookmarkStart w:id="10" w:name="_Toc270932408"/>
      <w:r>
        <w:t>Comprehensive capital budgeting</w:t>
      </w:r>
      <w:bookmarkEnd w:id="0"/>
      <w:bookmarkEnd w:id="1"/>
      <w:bookmarkEnd w:id="2"/>
      <w:bookmarkEnd w:id="3"/>
      <w:bookmarkEnd w:id="4"/>
      <w:bookmarkEnd w:id="5"/>
      <w:bookmarkEnd w:id="6"/>
      <w:bookmarkEnd w:id="7"/>
      <w:bookmarkEnd w:id="8"/>
      <w:bookmarkEnd w:id="9"/>
      <w:bookmarkEnd w:id="10"/>
    </w:p>
    <w:p w:rsidR="000D53C5" w:rsidRDefault="000D53C5" w:rsidP="000D53C5"/>
    <w:p w:rsidR="000D53C5" w:rsidRDefault="000D53C5" w:rsidP="000D53C5">
      <w:pPr>
        <w:pStyle w:val="t5"/>
        <w:tabs>
          <w:tab w:val="clear" w:pos="8060"/>
        </w:tabs>
        <w:spacing w:line="240" w:lineRule="auto"/>
        <w:rPr>
          <w:rFonts w:ascii="Times New Roman" w:hAnsi="Times New Roman"/>
        </w:rPr>
      </w:pPr>
    </w:p>
    <w:p w:rsidR="000D53C5" w:rsidRDefault="000D53C5" w:rsidP="000D53C5">
      <w:pPr>
        <w:pStyle w:val="Heading5"/>
        <w:jc w:val="center"/>
      </w:pPr>
      <w:r>
        <w:t>BALANCE SHEET</w:t>
      </w:r>
    </w:p>
    <w:p w:rsidR="000D53C5" w:rsidRDefault="000D53C5" w:rsidP="000D53C5">
      <w:pPr>
        <w:jc w:val="left"/>
        <w:rPr>
          <w:b/>
        </w:rPr>
      </w:pPr>
    </w:p>
    <w:tbl>
      <w:tblPr>
        <w:tblW w:w="0" w:type="auto"/>
        <w:tblLayout w:type="fixed"/>
        <w:tblLook w:val="0000" w:firstRow="0" w:lastRow="0" w:firstColumn="0" w:lastColumn="0" w:noHBand="0" w:noVBand="0"/>
      </w:tblPr>
      <w:tblGrid>
        <w:gridCol w:w="2214"/>
        <w:gridCol w:w="2214"/>
        <w:gridCol w:w="2214"/>
        <w:gridCol w:w="2214"/>
      </w:tblGrid>
      <w:tr w:rsidR="000D53C5" w:rsidTr="0042629A">
        <w:trPr>
          <w:trHeight w:val="189"/>
        </w:trPr>
        <w:tc>
          <w:tcPr>
            <w:tcW w:w="2214" w:type="dxa"/>
          </w:tcPr>
          <w:p w:rsidR="000D53C5" w:rsidRDefault="000D53C5" w:rsidP="0042629A">
            <w:pPr>
              <w:jc w:val="left"/>
            </w:pPr>
            <w:r>
              <w:t>Cash</w:t>
            </w:r>
          </w:p>
        </w:tc>
        <w:tc>
          <w:tcPr>
            <w:tcW w:w="2214" w:type="dxa"/>
          </w:tcPr>
          <w:p w:rsidR="000D53C5" w:rsidRDefault="000D53C5" w:rsidP="0042629A">
            <w:pPr>
              <w:tabs>
                <w:tab w:val="decimal" w:pos="1566"/>
              </w:tabs>
              <w:jc w:val="left"/>
            </w:pPr>
            <w:r>
              <w:t>2,000,000</w:t>
            </w:r>
          </w:p>
        </w:tc>
        <w:tc>
          <w:tcPr>
            <w:tcW w:w="2214" w:type="dxa"/>
          </w:tcPr>
          <w:p w:rsidR="000D53C5" w:rsidRDefault="000D53C5" w:rsidP="0042629A">
            <w:pPr>
              <w:jc w:val="left"/>
            </w:pPr>
            <w:r>
              <w:t>Accounts Payable and Accruals</w:t>
            </w:r>
          </w:p>
        </w:tc>
        <w:tc>
          <w:tcPr>
            <w:tcW w:w="2214" w:type="dxa"/>
          </w:tcPr>
          <w:p w:rsidR="000D53C5" w:rsidRDefault="000D53C5" w:rsidP="0042629A">
            <w:pPr>
              <w:tabs>
                <w:tab w:val="decimal" w:pos="1570"/>
              </w:tabs>
              <w:jc w:val="left"/>
            </w:pPr>
            <w:r>
              <w:t>18,000,000</w:t>
            </w:r>
          </w:p>
        </w:tc>
      </w:tr>
      <w:tr w:rsidR="000D53C5" w:rsidTr="0042629A">
        <w:tc>
          <w:tcPr>
            <w:tcW w:w="2214" w:type="dxa"/>
          </w:tcPr>
          <w:p w:rsidR="000D53C5" w:rsidRDefault="000D53C5" w:rsidP="0042629A">
            <w:pPr>
              <w:jc w:val="left"/>
            </w:pPr>
            <w:r>
              <w:t>Accounts Receivable</w:t>
            </w:r>
          </w:p>
        </w:tc>
        <w:tc>
          <w:tcPr>
            <w:tcW w:w="2214" w:type="dxa"/>
          </w:tcPr>
          <w:p w:rsidR="000D53C5" w:rsidRDefault="000D53C5" w:rsidP="0042629A">
            <w:pPr>
              <w:tabs>
                <w:tab w:val="decimal" w:pos="1566"/>
              </w:tabs>
              <w:jc w:val="left"/>
            </w:pPr>
            <w:r>
              <w:t>28,000,000</w:t>
            </w:r>
          </w:p>
        </w:tc>
        <w:tc>
          <w:tcPr>
            <w:tcW w:w="2214" w:type="dxa"/>
          </w:tcPr>
          <w:p w:rsidR="000D53C5" w:rsidRDefault="000D53C5" w:rsidP="0042629A">
            <w:pPr>
              <w:jc w:val="left"/>
            </w:pPr>
            <w:r>
              <w:t>Notes Payable</w:t>
            </w:r>
          </w:p>
        </w:tc>
        <w:tc>
          <w:tcPr>
            <w:tcW w:w="2214" w:type="dxa"/>
          </w:tcPr>
          <w:p w:rsidR="000D53C5" w:rsidRDefault="000D53C5" w:rsidP="0042629A">
            <w:pPr>
              <w:tabs>
                <w:tab w:val="decimal" w:pos="1570"/>
              </w:tabs>
              <w:jc w:val="left"/>
            </w:pPr>
            <w:r>
              <w:t>40,000,000</w:t>
            </w:r>
          </w:p>
        </w:tc>
      </w:tr>
      <w:tr w:rsidR="000D53C5" w:rsidTr="0042629A">
        <w:tc>
          <w:tcPr>
            <w:tcW w:w="2214" w:type="dxa"/>
          </w:tcPr>
          <w:p w:rsidR="000D53C5" w:rsidRDefault="000D53C5" w:rsidP="0042629A">
            <w:pPr>
              <w:jc w:val="left"/>
            </w:pPr>
            <w:r>
              <w:t>Inventories</w:t>
            </w:r>
          </w:p>
        </w:tc>
        <w:tc>
          <w:tcPr>
            <w:tcW w:w="2214" w:type="dxa"/>
          </w:tcPr>
          <w:p w:rsidR="000D53C5" w:rsidRDefault="000D53C5" w:rsidP="0042629A">
            <w:pPr>
              <w:tabs>
                <w:tab w:val="decimal" w:pos="1566"/>
              </w:tabs>
              <w:jc w:val="left"/>
            </w:pPr>
            <w:r>
              <w:t>42,000,000</w:t>
            </w:r>
          </w:p>
        </w:tc>
        <w:tc>
          <w:tcPr>
            <w:tcW w:w="2214" w:type="dxa"/>
          </w:tcPr>
          <w:p w:rsidR="000D53C5" w:rsidRDefault="000D53C5" w:rsidP="0042629A">
            <w:pPr>
              <w:jc w:val="left"/>
            </w:pPr>
            <w:r>
              <w:t>Long-Term Debt</w:t>
            </w:r>
          </w:p>
        </w:tc>
        <w:tc>
          <w:tcPr>
            <w:tcW w:w="2214" w:type="dxa"/>
          </w:tcPr>
          <w:p w:rsidR="000D53C5" w:rsidRDefault="000D53C5" w:rsidP="0042629A">
            <w:pPr>
              <w:tabs>
                <w:tab w:val="decimal" w:pos="1570"/>
              </w:tabs>
              <w:jc w:val="left"/>
            </w:pPr>
            <w:r>
              <w:t>60,000,000</w:t>
            </w:r>
          </w:p>
        </w:tc>
      </w:tr>
      <w:tr w:rsidR="000D53C5" w:rsidTr="0042629A">
        <w:tc>
          <w:tcPr>
            <w:tcW w:w="2214" w:type="dxa"/>
          </w:tcPr>
          <w:p w:rsidR="000D53C5" w:rsidRDefault="000D53C5" w:rsidP="0042629A">
            <w:pPr>
              <w:jc w:val="left"/>
            </w:pPr>
          </w:p>
        </w:tc>
        <w:tc>
          <w:tcPr>
            <w:tcW w:w="2214" w:type="dxa"/>
          </w:tcPr>
          <w:p w:rsidR="000D53C5" w:rsidRDefault="000D53C5" w:rsidP="0042629A">
            <w:pPr>
              <w:tabs>
                <w:tab w:val="decimal" w:pos="1566"/>
              </w:tabs>
              <w:jc w:val="left"/>
            </w:pPr>
          </w:p>
        </w:tc>
        <w:tc>
          <w:tcPr>
            <w:tcW w:w="2214" w:type="dxa"/>
          </w:tcPr>
          <w:p w:rsidR="000D53C5" w:rsidRDefault="000D53C5" w:rsidP="0042629A">
            <w:pPr>
              <w:jc w:val="left"/>
            </w:pPr>
            <w:r>
              <w:t>Preferred Stock</w:t>
            </w:r>
          </w:p>
        </w:tc>
        <w:tc>
          <w:tcPr>
            <w:tcW w:w="2214" w:type="dxa"/>
          </w:tcPr>
          <w:p w:rsidR="000D53C5" w:rsidRDefault="000D53C5" w:rsidP="0042629A">
            <w:pPr>
              <w:tabs>
                <w:tab w:val="decimal" w:pos="1570"/>
              </w:tabs>
              <w:jc w:val="left"/>
            </w:pPr>
            <w:r>
              <w:t>10,000,000</w:t>
            </w:r>
          </w:p>
        </w:tc>
      </w:tr>
      <w:tr w:rsidR="000D53C5" w:rsidTr="0042629A">
        <w:tc>
          <w:tcPr>
            <w:tcW w:w="2214" w:type="dxa"/>
          </w:tcPr>
          <w:p w:rsidR="000D53C5" w:rsidRDefault="000D53C5" w:rsidP="0042629A">
            <w:pPr>
              <w:jc w:val="left"/>
            </w:pPr>
            <w:r>
              <w:t>Net Fixed Assets</w:t>
            </w:r>
          </w:p>
        </w:tc>
        <w:tc>
          <w:tcPr>
            <w:tcW w:w="2214" w:type="dxa"/>
            <w:tcBorders>
              <w:bottom w:val="single" w:sz="6" w:space="0" w:color="auto"/>
            </w:tcBorders>
          </w:tcPr>
          <w:p w:rsidR="000D53C5" w:rsidRDefault="000D53C5" w:rsidP="0042629A">
            <w:pPr>
              <w:tabs>
                <w:tab w:val="decimal" w:pos="1566"/>
              </w:tabs>
              <w:jc w:val="left"/>
            </w:pPr>
            <w:r>
              <w:t>133,000,000</w:t>
            </w:r>
          </w:p>
        </w:tc>
        <w:tc>
          <w:tcPr>
            <w:tcW w:w="2214" w:type="dxa"/>
          </w:tcPr>
          <w:p w:rsidR="000D53C5" w:rsidRDefault="000D53C5" w:rsidP="0042629A">
            <w:pPr>
              <w:jc w:val="left"/>
            </w:pPr>
            <w:r>
              <w:t>Common Equity</w:t>
            </w:r>
          </w:p>
        </w:tc>
        <w:tc>
          <w:tcPr>
            <w:tcW w:w="2214" w:type="dxa"/>
            <w:tcBorders>
              <w:bottom w:val="single" w:sz="6" w:space="0" w:color="auto"/>
            </w:tcBorders>
          </w:tcPr>
          <w:p w:rsidR="000D53C5" w:rsidRDefault="000D53C5" w:rsidP="0042629A">
            <w:pPr>
              <w:tabs>
                <w:tab w:val="decimal" w:pos="1570"/>
              </w:tabs>
              <w:jc w:val="left"/>
            </w:pPr>
            <w:r>
              <w:t>77,000,000</w:t>
            </w:r>
          </w:p>
        </w:tc>
      </w:tr>
      <w:tr w:rsidR="000D53C5" w:rsidTr="0042629A">
        <w:tc>
          <w:tcPr>
            <w:tcW w:w="2214" w:type="dxa"/>
          </w:tcPr>
          <w:p w:rsidR="000D53C5" w:rsidRDefault="000D53C5" w:rsidP="0042629A">
            <w:pPr>
              <w:jc w:val="left"/>
            </w:pPr>
          </w:p>
        </w:tc>
        <w:tc>
          <w:tcPr>
            <w:tcW w:w="2214" w:type="dxa"/>
          </w:tcPr>
          <w:p w:rsidR="000D53C5" w:rsidRDefault="000D53C5" w:rsidP="0042629A">
            <w:pPr>
              <w:tabs>
                <w:tab w:val="decimal" w:pos="1566"/>
              </w:tabs>
              <w:jc w:val="left"/>
            </w:pPr>
          </w:p>
        </w:tc>
        <w:tc>
          <w:tcPr>
            <w:tcW w:w="2214" w:type="dxa"/>
          </w:tcPr>
          <w:p w:rsidR="000D53C5" w:rsidRDefault="000D53C5" w:rsidP="0042629A">
            <w:pPr>
              <w:jc w:val="left"/>
            </w:pPr>
          </w:p>
        </w:tc>
        <w:tc>
          <w:tcPr>
            <w:tcW w:w="2214" w:type="dxa"/>
          </w:tcPr>
          <w:p w:rsidR="000D53C5" w:rsidRDefault="000D53C5" w:rsidP="0042629A">
            <w:pPr>
              <w:tabs>
                <w:tab w:val="decimal" w:pos="1570"/>
              </w:tabs>
              <w:jc w:val="left"/>
            </w:pPr>
          </w:p>
        </w:tc>
      </w:tr>
      <w:tr w:rsidR="000D53C5" w:rsidTr="0042629A">
        <w:tc>
          <w:tcPr>
            <w:tcW w:w="2214" w:type="dxa"/>
          </w:tcPr>
          <w:p w:rsidR="000D53C5" w:rsidRDefault="000D53C5" w:rsidP="0042629A">
            <w:pPr>
              <w:jc w:val="left"/>
            </w:pPr>
            <w:r>
              <w:t>Total Assets</w:t>
            </w:r>
          </w:p>
        </w:tc>
        <w:tc>
          <w:tcPr>
            <w:tcW w:w="2214" w:type="dxa"/>
            <w:tcBorders>
              <w:bottom w:val="double" w:sz="6" w:space="0" w:color="auto"/>
            </w:tcBorders>
          </w:tcPr>
          <w:p w:rsidR="000D53C5" w:rsidRDefault="000D53C5" w:rsidP="0042629A">
            <w:pPr>
              <w:tabs>
                <w:tab w:val="decimal" w:pos="1566"/>
              </w:tabs>
              <w:jc w:val="left"/>
            </w:pPr>
            <w:r>
              <w:t>205,000,000</w:t>
            </w:r>
          </w:p>
        </w:tc>
        <w:tc>
          <w:tcPr>
            <w:tcW w:w="2214" w:type="dxa"/>
          </w:tcPr>
          <w:p w:rsidR="000D53C5" w:rsidRDefault="000D53C5" w:rsidP="0042629A">
            <w:pPr>
              <w:jc w:val="left"/>
            </w:pPr>
            <w:r>
              <w:t>Total Claims</w:t>
            </w:r>
          </w:p>
        </w:tc>
        <w:tc>
          <w:tcPr>
            <w:tcW w:w="2214" w:type="dxa"/>
            <w:tcBorders>
              <w:bottom w:val="double" w:sz="6" w:space="0" w:color="auto"/>
            </w:tcBorders>
          </w:tcPr>
          <w:p w:rsidR="000D53C5" w:rsidRDefault="000D53C5" w:rsidP="0042629A">
            <w:pPr>
              <w:tabs>
                <w:tab w:val="decimal" w:pos="1570"/>
              </w:tabs>
              <w:jc w:val="left"/>
            </w:pPr>
            <w:r>
              <w:t>205,000,000</w:t>
            </w:r>
          </w:p>
        </w:tc>
      </w:tr>
    </w:tbl>
    <w:p w:rsidR="000D53C5" w:rsidRDefault="000D53C5" w:rsidP="000D53C5">
      <w:pPr>
        <w:jc w:val="left"/>
      </w:pPr>
    </w:p>
    <w:p w:rsidR="000D53C5" w:rsidRDefault="000D53C5" w:rsidP="000D53C5">
      <w:pPr>
        <w:numPr>
          <w:ilvl w:val="0"/>
          <w:numId w:val="2"/>
        </w:numPr>
        <w:jc w:val="left"/>
      </w:pPr>
      <w:r>
        <w:t>Last year’s sales were $225,000,000.</w:t>
      </w:r>
      <w:r>
        <w:br/>
      </w:r>
    </w:p>
    <w:p w:rsidR="000D53C5" w:rsidRDefault="000D53C5" w:rsidP="000D53C5">
      <w:pPr>
        <w:numPr>
          <w:ilvl w:val="0"/>
          <w:numId w:val="2"/>
        </w:numPr>
        <w:jc w:val="left"/>
      </w:pPr>
      <w:r>
        <w:t>The company has 60,000 bonds with a 30-year life outstanding, with 15 years until maturity. The bonds carry a 10 percent semi-annual coupon, and are currently selling for $874.78.</w:t>
      </w:r>
      <w:r>
        <w:br/>
      </w:r>
    </w:p>
    <w:p w:rsidR="000D53C5" w:rsidRDefault="000D53C5" w:rsidP="000D53C5">
      <w:pPr>
        <w:numPr>
          <w:ilvl w:val="0"/>
          <w:numId w:val="2"/>
        </w:numPr>
        <w:jc w:val="left"/>
      </w:pPr>
      <w:r>
        <w:t>You also have 100,000 shares of $100 par, 9% dividend perpetual preferred stock outstanding. The current market price is $90.00. Any new issues of preferred stock would incur a $3.00 per share flotation cost.</w:t>
      </w:r>
      <w:r>
        <w:br/>
      </w:r>
    </w:p>
    <w:p w:rsidR="000D53C5" w:rsidRDefault="000D53C5" w:rsidP="000D53C5">
      <w:pPr>
        <w:numPr>
          <w:ilvl w:val="0"/>
          <w:numId w:val="2"/>
        </w:numPr>
        <w:jc w:val="left"/>
      </w:pPr>
      <w:r>
        <w:t>The company has 10 million shares of common stock outstanding with a currently price of $14.00 per share. The stock exhibits a constant growth rate of 10 percent. The last dividend (D</w:t>
      </w:r>
      <w:r>
        <w:rPr>
          <w:vertAlign w:val="subscript"/>
        </w:rPr>
        <w:t>0</w:t>
      </w:r>
      <w:r>
        <w:t>) was $.80. New stock could be sold with flotation costs, including market pressure, of 15 percent.</w:t>
      </w:r>
      <w:r>
        <w:br/>
      </w:r>
    </w:p>
    <w:p w:rsidR="000D53C5" w:rsidRDefault="000D53C5" w:rsidP="000D53C5">
      <w:pPr>
        <w:numPr>
          <w:ilvl w:val="0"/>
          <w:numId w:val="2"/>
        </w:numPr>
        <w:jc w:val="left"/>
      </w:pPr>
      <w:r>
        <w:t>The risk-free rate is currently 6 percent, and the rate of return on the stock market as a whole is 14 percent. Your stock’s beta is 1.22.</w:t>
      </w:r>
      <w:r>
        <w:br/>
      </w:r>
    </w:p>
    <w:p w:rsidR="000D53C5" w:rsidRDefault="000D53C5" w:rsidP="000D53C5">
      <w:pPr>
        <w:numPr>
          <w:ilvl w:val="0"/>
          <w:numId w:val="2"/>
        </w:numPr>
        <w:jc w:val="left"/>
      </w:pPr>
      <w:r>
        <w:t>Stockholders require a risk premium of 5 percent above the return on the firms bonds.</w:t>
      </w:r>
      <w:r>
        <w:br/>
      </w:r>
    </w:p>
    <w:p w:rsidR="000D53C5" w:rsidRDefault="000D53C5" w:rsidP="000D53C5">
      <w:pPr>
        <w:numPr>
          <w:ilvl w:val="0"/>
          <w:numId w:val="2"/>
        </w:numPr>
        <w:jc w:val="left"/>
      </w:pPr>
      <w:r>
        <w:t>The firm expects to have additional retained earnings of $10 million in the coming year, and expects depreciation expenses of $35 million.</w:t>
      </w:r>
      <w:r>
        <w:br/>
      </w:r>
    </w:p>
    <w:p w:rsidR="000D53C5" w:rsidRDefault="000D53C5" w:rsidP="000D53C5">
      <w:pPr>
        <w:numPr>
          <w:ilvl w:val="0"/>
          <w:numId w:val="2"/>
        </w:numPr>
        <w:jc w:val="left"/>
      </w:pPr>
      <w:r>
        <w:t>Your firm does not use notes payable for long-term financing.</w:t>
      </w:r>
      <w:r>
        <w:br/>
      </w:r>
    </w:p>
    <w:p w:rsidR="000D53C5" w:rsidRDefault="000D53C5" w:rsidP="000D53C5">
      <w:pPr>
        <w:numPr>
          <w:ilvl w:val="0"/>
          <w:numId w:val="2"/>
        </w:numPr>
        <w:jc w:val="left"/>
      </w:pPr>
      <w:r>
        <w:t xml:space="preserve">The firm considers its current </w:t>
      </w:r>
      <w:r>
        <w:rPr>
          <w:b/>
        </w:rPr>
        <w:t>market value</w:t>
      </w:r>
      <w:r>
        <w:t xml:space="preserve"> capital structure to be optimal, and wishes to maintain that structure. (Hint: Examine the market value of the firm’s capital structure, rather than its book value.)</w:t>
      </w:r>
      <w:r>
        <w:br/>
      </w:r>
    </w:p>
    <w:p w:rsidR="000D53C5" w:rsidRDefault="000D53C5" w:rsidP="000D53C5">
      <w:pPr>
        <w:numPr>
          <w:ilvl w:val="0"/>
          <w:numId w:val="2"/>
        </w:numPr>
        <w:jc w:val="left"/>
      </w:pPr>
      <w:r>
        <w:t>The firm is currently using its assets at capacity.</w:t>
      </w:r>
      <w:r>
        <w:br/>
      </w:r>
    </w:p>
    <w:p w:rsidR="000D53C5" w:rsidRDefault="000D53C5" w:rsidP="000D53C5">
      <w:pPr>
        <w:numPr>
          <w:ilvl w:val="0"/>
          <w:numId w:val="2"/>
        </w:numPr>
        <w:jc w:val="left"/>
      </w:pPr>
      <w:r>
        <w:lastRenderedPageBreak/>
        <w:t>The firm’s management requires a 2 percent adjustment to the cost of capital for risky projects.</w:t>
      </w:r>
      <w:r>
        <w:br/>
      </w:r>
    </w:p>
    <w:p w:rsidR="000D53C5" w:rsidRDefault="000D53C5" w:rsidP="000D53C5">
      <w:pPr>
        <w:numPr>
          <w:ilvl w:val="0"/>
          <w:numId w:val="2"/>
        </w:numPr>
        <w:jc w:val="left"/>
      </w:pPr>
      <w:r>
        <w:t>Your firm’s federal + state marginal tax rate is 40%.</w:t>
      </w:r>
      <w:r>
        <w:br/>
      </w:r>
    </w:p>
    <w:p w:rsidR="000D53C5" w:rsidRDefault="000D53C5" w:rsidP="000D53C5">
      <w:pPr>
        <w:numPr>
          <w:ilvl w:val="0"/>
          <w:numId w:val="2"/>
        </w:numPr>
        <w:jc w:val="left"/>
      </w:pPr>
      <w:r>
        <w:t>Your firm’s dividend payout ratio is 50 percent, and net profit margin was 8.89 percent.</w:t>
      </w:r>
      <w:r>
        <w:br/>
      </w:r>
    </w:p>
    <w:p w:rsidR="000D53C5" w:rsidRDefault="000D53C5" w:rsidP="000D53C5">
      <w:pPr>
        <w:numPr>
          <w:ilvl w:val="0"/>
          <w:numId w:val="2"/>
        </w:numPr>
        <w:jc w:val="left"/>
      </w:pPr>
      <w:r>
        <w:t>The firm has the following investment opportunities currently available in addition to the venture that you are proposing:</w:t>
      </w:r>
    </w:p>
    <w:p w:rsidR="000D53C5" w:rsidRDefault="000D53C5" w:rsidP="000D53C5">
      <w:pPr>
        <w:jc w:val="left"/>
      </w:pPr>
    </w:p>
    <w:tbl>
      <w:tblPr>
        <w:tblW w:w="0" w:type="auto"/>
        <w:tblLayout w:type="fixed"/>
        <w:tblLook w:val="0000" w:firstRow="0" w:lastRow="0" w:firstColumn="0" w:lastColumn="0" w:noHBand="0" w:noVBand="0"/>
      </w:tblPr>
      <w:tblGrid>
        <w:gridCol w:w="2952"/>
        <w:gridCol w:w="2952"/>
        <w:gridCol w:w="2952"/>
      </w:tblGrid>
      <w:tr w:rsidR="000D53C5" w:rsidTr="0042629A">
        <w:tc>
          <w:tcPr>
            <w:tcW w:w="2952" w:type="dxa"/>
          </w:tcPr>
          <w:p w:rsidR="000D53C5" w:rsidRDefault="000D53C5" w:rsidP="0042629A">
            <w:pPr>
              <w:jc w:val="left"/>
              <w:rPr>
                <w:b/>
                <w:u w:val="single"/>
              </w:rPr>
            </w:pPr>
            <w:r>
              <w:rPr>
                <w:b/>
                <w:u w:val="single"/>
              </w:rPr>
              <w:t>Project</w:t>
            </w:r>
          </w:p>
        </w:tc>
        <w:tc>
          <w:tcPr>
            <w:tcW w:w="2952" w:type="dxa"/>
          </w:tcPr>
          <w:p w:rsidR="000D53C5" w:rsidRDefault="000D53C5" w:rsidP="0042629A">
            <w:pPr>
              <w:jc w:val="left"/>
              <w:rPr>
                <w:b/>
                <w:u w:val="single"/>
              </w:rPr>
            </w:pPr>
            <w:r>
              <w:rPr>
                <w:b/>
                <w:u w:val="single"/>
              </w:rPr>
              <w:t>Cost</w:t>
            </w:r>
          </w:p>
        </w:tc>
        <w:tc>
          <w:tcPr>
            <w:tcW w:w="2952" w:type="dxa"/>
          </w:tcPr>
          <w:p w:rsidR="000D53C5" w:rsidRDefault="000D53C5" w:rsidP="0042629A">
            <w:pPr>
              <w:jc w:val="left"/>
              <w:rPr>
                <w:b/>
                <w:u w:val="single"/>
              </w:rPr>
            </w:pPr>
            <w:r>
              <w:rPr>
                <w:b/>
                <w:u w:val="single"/>
              </w:rPr>
              <w:t>IRR</w:t>
            </w:r>
          </w:p>
        </w:tc>
      </w:tr>
      <w:tr w:rsidR="000D53C5" w:rsidTr="0042629A">
        <w:tc>
          <w:tcPr>
            <w:tcW w:w="2952" w:type="dxa"/>
          </w:tcPr>
          <w:p w:rsidR="000D53C5" w:rsidRDefault="000D53C5" w:rsidP="0042629A">
            <w:pPr>
              <w:jc w:val="left"/>
            </w:pPr>
            <w:r>
              <w:t>A</w:t>
            </w:r>
          </w:p>
        </w:tc>
        <w:tc>
          <w:tcPr>
            <w:tcW w:w="2952" w:type="dxa"/>
          </w:tcPr>
          <w:p w:rsidR="000D53C5" w:rsidRDefault="000D53C5" w:rsidP="0042629A">
            <w:pPr>
              <w:jc w:val="left"/>
            </w:pPr>
            <w:r>
              <w:t>10,000,000</w:t>
            </w:r>
          </w:p>
        </w:tc>
        <w:tc>
          <w:tcPr>
            <w:tcW w:w="2952" w:type="dxa"/>
          </w:tcPr>
          <w:p w:rsidR="000D53C5" w:rsidRDefault="000D53C5" w:rsidP="0042629A">
            <w:pPr>
              <w:jc w:val="left"/>
            </w:pPr>
            <w:r>
              <w:t>20%</w:t>
            </w:r>
          </w:p>
        </w:tc>
      </w:tr>
      <w:tr w:rsidR="000D53C5" w:rsidTr="0042629A">
        <w:tc>
          <w:tcPr>
            <w:tcW w:w="2952" w:type="dxa"/>
          </w:tcPr>
          <w:p w:rsidR="000D53C5" w:rsidRDefault="000D53C5" w:rsidP="0042629A">
            <w:pPr>
              <w:jc w:val="left"/>
            </w:pPr>
            <w:r>
              <w:t>B</w:t>
            </w:r>
          </w:p>
        </w:tc>
        <w:tc>
          <w:tcPr>
            <w:tcW w:w="2952" w:type="dxa"/>
          </w:tcPr>
          <w:p w:rsidR="000D53C5" w:rsidRDefault="000D53C5" w:rsidP="0042629A">
            <w:pPr>
              <w:jc w:val="left"/>
            </w:pPr>
            <w:r>
              <w:t>20,000,000</w:t>
            </w:r>
          </w:p>
        </w:tc>
        <w:tc>
          <w:tcPr>
            <w:tcW w:w="2952" w:type="dxa"/>
          </w:tcPr>
          <w:p w:rsidR="000D53C5" w:rsidRDefault="000D53C5" w:rsidP="0042629A">
            <w:pPr>
              <w:jc w:val="left"/>
            </w:pPr>
            <w:r>
              <w:t>18%</w:t>
            </w:r>
          </w:p>
        </w:tc>
      </w:tr>
      <w:tr w:rsidR="000D53C5" w:rsidTr="0042629A">
        <w:tc>
          <w:tcPr>
            <w:tcW w:w="2952" w:type="dxa"/>
          </w:tcPr>
          <w:p w:rsidR="000D53C5" w:rsidRDefault="000D53C5" w:rsidP="0042629A">
            <w:pPr>
              <w:jc w:val="left"/>
            </w:pPr>
            <w:r>
              <w:t>C</w:t>
            </w:r>
          </w:p>
        </w:tc>
        <w:tc>
          <w:tcPr>
            <w:tcW w:w="2952" w:type="dxa"/>
          </w:tcPr>
          <w:p w:rsidR="000D53C5" w:rsidRDefault="000D53C5" w:rsidP="0042629A">
            <w:pPr>
              <w:jc w:val="left"/>
            </w:pPr>
            <w:r>
              <w:t>15,000,000</w:t>
            </w:r>
          </w:p>
        </w:tc>
        <w:tc>
          <w:tcPr>
            <w:tcW w:w="2952" w:type="dxa"/>
          </w:tcPr>
          <w:p w:rsidR="000D53C5" w:rsidRDefault="000D53C5" w:rsidP="0042629A">
            <w:pPr>
              <w:jc w:val="left"/>
            </w:pPr>
            <w:r>
              <w:t>14%</w:t>
            </w:r>
          </w:p>
        </w:tc>
      </w:tr>
      <w:tr w:rsidR="000D53C5" w:rsidTr="0042629A">
        <w:tc>
          <w:tcPr>
            <w:tcW w:w="2952" w:type="dxa"/>
          </w:tcPr>
          <w:p w:rsidR="000D53C5" w:rsidRDefault="000D53C5" w:rsidP="0042629A">
            <w:pPr>
              <w:jc w:val="left"/>
            </w:pPr>
            <w:r>
              <w:t>D</w:t>
            </w:r>
          </w:p>
        </w:tc>
        <w:tc>
          <w:tcPr>
            <w:tcW w:w="2952" w:type="dxa"/>
          </w:tcPr>
          <w:p w:rsidR="000D53C5" w:rsidRDefault="000D53C5" w:rsidP="0042629A">
            <w:pPr>
              <w:jc w:val="left"/>
            </w:pPr>
            <w:r>
              <w:t>30,000,000</w:t>
            </w:r>
          </w:p>
        </w:tc>
        <w:tc>
          <w:tcPr>
            <w:tcW w:w="2952" w:type="dxa"/>
          </w:tcPr>
          <w:p w:rsidR="000D53C5" w:rsidRDefault="000D53C5" w:rsidP="0042629A">
            <w:pPr>
              <w:jc w:val="left"/>
            </w:pPr>
            <w:r>
              <w:t>12%</w:t>
            </w:r>
          </w:p>
        </w:tc>
      </w:tr>
      <w:tr w:rsidR="000D53C5" w:rsidTr="0042629A">
        <w:tc>
          <w:tcPr>
            <w:tcW w:w="2952" w:type="dxa"/>
          </w:tcPr>
          <w:p w:rsidR="000D53C5" w:rsidRDefault="000D53C5" w:rsidP="0042629A">
            <w:pPr>
              <w:jc w:val="left"/>
            </w:pPr>
            <w:r>
              <w:t>E</w:t>
            </w:r>
          </w:p>
        </w:tc>
        <w:tc>
          <w:tcPr>
            <w:tcW w:w="2952" w:type="dxa"/>
          </w:tcPr>
          <w:p w:rsidR="000D53C5" w:rsidRDefault="000D53C5" w:rsidP="0042629A">
            <w:pPr>
              <w:jc w:val="left"/>
            </w:pPr>
            <w:r>
              <w:t>25,000,000</w:t>
            </w:r>
          </w:p>
        </w:tc>
        <w:tc>
          <w:tcPr>
            <w:tcW w:w="2952" w:type="dxa"/>
          </w:tcPr>
          <w:p w:rsidR="000D53C5" w:rsidRDefault="000D53C5" w:rsidP="0042629A">
            <w:pPr>
              <w:jc w:val="left"/>
            </w:pPr>
            <w:r>
              <w:t>10%</w:t>
            </w:r>
          </w:p>
        </w:tc>
      </w:tr>
    </w:tbl>
    <w:p w:rsidR="000D53C5" w:rsidRDefault="000D53C5" w:rsidP="000D53C5">
      <w:pPr>
        <w:jc w:val="left"/>
      </w:pPr>
    </w:p>
    <w:p w:rsidR="000D53C5" w:rsidRDefault="000D53C5" w:rsidP="000D53C5">
      <w:pPr>
        <w:jc w:val="left"/>
      </w:pPr>
      <w:r>
        <w:t>Your venture would consist of a new product introduction (You should label your venture as Project I, for “introduction”). You estimate that your product will have a six-year life span, and the equipment used to manufacture the project falls into the MACRS 5-year class. Your venture would require a capital investment of $15,000,000 in equipment, plus $2,000,000 in installation costs. The venture would also result in an increase in accounts receivable and inventories of $4,000,000. At the end of the six-year life span of the venture, you estimate that the equipment could be sold at a $4,000,000 salvage value.</w:t>
      </w:r>
    </w:p>
    <w:p w:rsidR="000D53C5" w:rsidRDefault="000D53C5" w:rsidP="000D53C5">
      <w:pPr>
        <w:jc w:val="left"/>
      </w:pPr>
    </w:p>
    <w:p w:rsidR="000D53C5" w:rsidRDefault="000D53C5" w:rsidP="000D53C5">
      <w:pPr>
        <w:jc w:val="left"/>
      </w:pPr>
      <w:r>
        <w:t>Your venture, which management considers fairly risky, would increase fixed costs by a constant $1,000,000 per year, while the variable costs of the venture would equal 30 percent of revenues. You are projecting that revenues generated by the project would equal $5,000,000 in year 1, $10,000,000 in year 2, $14,000,000 in year 3, $16,000,000 in year 4, $12,000,000 in year 5, and $8,000,000 in year 6.</w:t>
      </w:r>
    </w:p>
    <w:p w:rsidR="000D53C5" w:rsidRDefault="000D53C5" w:rsidP="000D53C5">
      <w:pPr>
        <w:jc w:val="left"/>
      </w:pPr>
    </w:p>
    <w:p w:rsidR="000D53C5" w:rsidRDefault="000D53C5" w:rsidP="000D53C5">
      <w:pPr>
        <w:jc w:val="left"/>
      </w:pPr>
      <w:bookmarkStart w:id="11" w:name="_GoBack"/>
      <w:bookmarkEnd w:id="11"/>
    </w:p>
    <w:p w:rsidR="000D53C5" w:rsidRDefault="000D53C5" w:rsidP="000D53C5">
      <w:pPr>
        <w:jc w:val="left"/>
        <w:rPr>
          <w:b/>
        </w:rPr>
      </w:pPr>
      <w:r>
        <w:tab/>
      </w:r>
      <w:r>
        <w:rPr>
          <w:b/>
        </w:rPr>
        <w:t>Note: Carry all final calculations to two decimal places.</w:t>
      </w:r>
    </w:p>
    <w:p w:rsidR="000D53C5" w:rsidRDefault="000D53C5" w:rsidP="000D53C5">
      <w:pPr>
        <w:jc w:val="left"/>
      </w:pPr>
    </w:p>
    <w:p w:rsidR="000D53C5" w:rsidRDefault="000D53C5" w:rsidP="000D53C5">
      <w:pPr>
        <w:numPr>
          <w:ilvl w:val="0"/>
          <w:numId w:val="3"/>
        </w:numPr>
        <w:jc w:val="left"/>
      </w:pPr>
      <w:r>
        <w:t>Find the costs of the i</w:t>
      </w:r>
      <w:r>
        <w:t>ndividual capital components:</w:t>
      </w:r>
      <w:r>
        <w:br/>
        <w:t>a.</w:t>
      </w:r>
      <w:r>
        <w:tab/>
        <w:t>long-term debt</w:t>
      </w:r>
      <w:r>
        <w:br/>
        <w:t>b.</w:t>
      </w:r>
      <w:r>
        <w:tab/>
        <w:t>preferred stock</w:t>
      </w:r>
      <w:r>
        <w:br/>
        <w:t>c.</w:t>
      </w:r>
      <w:r>
        <w:tab/>
        <w:t>retained earnings (avg. of CAPM, DCF, &amp; bond yield + risk premium approaches)</w:t>
      </w:r>
      <w:r>
        <w:br/>
        <w:t>d.</w:t>
      </w:r>
      <w:r>
        <w:tab/>
        <w:t>new common stock</w:t>
      </w:r>
    </w:p>
    <w:p w:rsidR="000D53C5" w:rsidRDefault="000D53C5" w:rsidP="000D53C5">
      <w:pPr>
        <w:numPr>
          <w:ilvl w:val="0"/>
          <w:numId w:val="1"/>
        </w:numPr>
        <w:jc w:val="left"/>
      </w:pPr>
      <w:r>
        <w:t xml:space="preserve">Compute the value of the long-term elements of the capital structure, and determine the target percentages for the optimal capital structure. (Carry weights to four decimal places. For example: 0.2973 or 29.73%) </w:t>
      </w:r>
    </w:p>
    <w:p w:rsidR="000D53C5" w:rsidRDefault="000D53C5" w:rsidP="000D53C5">
      <w:pPr>
        <w:numPr>
          <w:ilvl w:val="0"/>
          <w:numId w:val="1"/>
        </w:numPr>
        <w:jc w:val="left"/>
      </w:pPr>
      <w:r>
        <w:t xml:space="preserve">Compute the retained earnings break point. </w:t>
      </w:r>
    </w:p>
    <w:p w:rsidR="000D53C5" w:rsidRDefault="000D53C5" w:rsidP="000D53C5">
      <w:pPr>
        <w:numPr>
          <w:ilvl w:val="0"/>
          <w:numId w:val="1"/>
        </w:numPr>
        <w:jc w:val="left"/>
      </w:pPr>
      <w:r>
        <w:t xml:space="preserve">Draw the MCC schedule, including depreciation-generated funds in the schedule. </w:t>
      </w:r>
    </w:p>
    <w:p w:rsidR="000D53C5" w:rsidRDefault="000D53C5" w:rsidP="000D53C5">
      <w:pPr>
        <w:numPr>
          <w:ilvl w:val="0"/>
          <w:numId w:val="1"/>
        </w:numPr>
        <w:jc w:val="left"/>
      </w:pPr>
      <w:r>
        <w:t xml:space="preserve">Compute the Year 0 investment for Project I. </w:t>
      </w:r>
    </w:p>
    <w:p w:rsidR="000D53C5" w:rsidRDefault="000D53C5" w:rsidP="000D53C5">
      <w:pPr>
        <w:numPr>
          <w:ilvl w:val="0"/>
          <w:numId w:val="1"/>
        </w:numPr>
        <w:jc w:val="left"/>
      </w:pPr>
      <w:r>
        <w:t xml:space="preserve">Compute the annual operating cash flows for years 1-6 of the project. </w:t>
      </w:r>
    </w:p>
    <w:p w:rsidR="000D53C5" w:rsidRDefault="000D53C5" w:rsidP="000D53C5">
      <w:pPr>
        <w:numPr>
          <w:ilvl w:val="0"/>
          <w:numId w:val="1"/>
        </w:numPr>
        <w:jc w:val="left"/>
      </w:pPr>
      <w:r>
        <w:lastRenderedPageBreak/>
        <w:t xml:space="preserve">Compute the additional non-operating cash flow at the end of year 6. </w:t>
      </w:r>
    </w:p>
    <w:p w:rsidR="000D53C5" w:rsidRDefault="000D53C5" w:rsidP="000D53C5">
      <w:pPr>
        <w:numPr>
          <w:ilvl w:val="0"/>
          <w:numId w:val="1"/>
        </w:numPr>
        <w:jc w:val="left"/>
      </w:pPr>
      <w:r>
        <w:t xml:space="preserve">Draw a timeline that summarizes all of the cash flows for your venture. </w:t>
      </w:r>
    </w:p>
    <w:p w:rsidR="000D53C5" w:rsidRDefault="000D53C5" w:rsidP="000D53C5">
      <w:pPr>
        <w:numPr>
          <w:ilvl w:val="0"/>
          <w:numId w:val="1"/>
        </w:numPr>
        <w:jc w:val="left"/>
      </w:pPr>
      <w:r>
        <w:t xml:space="preserve">Compute the IRR and payback period for Project I. </w:t>
      </w:r>
    </w:p>
    <w:p w:rsidR="000D53C5" w:rsidRDefault="000D53C5" w:rsidP="000D53C5">
      <w:pPr>
        <w:numPr>
          <w:ilvl w:val="0"/>
          <w:numId w:val="1"/>
        </w:numPr>
        <w:jc w:val="left"/>
      </w:pPr>
      <w:r>
        <w:t xml:space="preserve">Draw the IOS schedule, including Project I along with Projects A-E. </w:t>
      </w:r>
    </w:p>
    <w:p w:rsidR="000D53C5" w:rsidRDefault="000D53C5" w:rsidP="000D53C5">
      <w:pPr>
        <w:numPr>
          <w:ilvl w:val="0"/>
          <w:numId w:val="1"/>
        </w:numPr>
        <w:jc w:val="left"/>
      </w:pPr>
      <w:r>
        <w:t xml:space="preserve">Determine your firm’s cost of capital. </w:t>
      </w:r>
    </w:p>
    <w:p w:rsidR="000D53C5" w:rsidRDefault="000D53C5" w:rsidP="000D53C5">
      <w:pPr>
        <w:numPr>
          <w:ilvl w:val="0"/>
          <w:numId w:val="1"/>
        </w:numPr>
        <w:jc w:val="left"/>
      </w:pPr>
      <w:r>
        <w:t xml:space="preserve">Indicate which projects should be accepted based on your MCC and IOS schedules, and why. </w:t>
      </w:r>
    </w:p>
    <w:p w:rsidR="008A316F" w:rsidRDefault="000D53C5" w:rsidP="000D53C5">
      <w:pPr>
        <w:numPr>
          <w:ilvl w:val="0"/>
          <w:numId w:val="1"/>
        </w:numPr>
        <w:jc w:val="left"/>
      </w:pPr>
      <w:r>
        <w:t xml:space="preserve">Compute the NPV for Project I at the risk-adjusted cost of capital for the project. Should management adopt this project based on your analysis? Explain. Would your answer be different if the project were determined to be of average risk? Explain. </w:t>
      </w:r>
    </w:p>
    <w:sectPr w:rsidR="008A31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AD" w:rsidRDefault="00033BAD" w:rsidP="00C12C84">
      <w:r>
        <w:separator/>
      </w:r>
    </w:p>
  </w:endnote>
  <w:endnote w:type="continuationSeparator" w:id="0">
    <w:p w:rsidR="00033BAD" w:rsidRDefault="00033BAD" w:rsidP="00C1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84" w:rsidRDefault="00C12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84" w:rsidRDefault="00C12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84" w:rsidRDefault="00C12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AD" w:rsidRDefault="00033BAD" w:rsidP="00C12C84">
      <w:r>
        <w:separator/>
      </w:r>
    </w:p>
  </w:footnote>
  <w:footnote w:type="continuationSeparator" w:id="0">
    <w:p w:rsidR="00033BAD" w:rsidRDefault="00033BAD" w:rsidP="00C1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84" w:rsidRDefault="00C12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84" w:rsidRDefault="00C12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84" w:rsidRDefault="00C12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00E3D29"/>
    <w:multiLevelType w:val="singleLevel"/>
    <w:tmpl w:val="0409000F"/>
    <w:lvl w:ilvl="0">
      <w:start w:val="1"/>
      <w:numFmt w:val="decimal"/>
      <w:lvlText w:val="%1."/>
      <w:legacy w:legacy="1" w:legacySpace="0" w:legacyIndent="360"/>
      <w:lvlJc w:val="left"/>
      <w:pPr>
        <w:ind w:left="360" w:hanging="360"/>
      </w:pPr>
    </w:lvl>
  </w:abstractNum>
  <w:num w:numId="1">
    <w:abstractNumId w:val="1"/>
    <w:lvlOverride w:ilvl="0">
      <w:lvl w:ilvl="0">
        <w:start w:val="1"/>
        <w:numFmt w:val="decimal"/>
        <w:lvlText w:val="%1."/>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C5"/>
    <w:rsid w:val="00033BAD"/>
    <w:rsid w:val="000D53C5"/>
    <w:rsid w:val="003E62E5"/>
    <w:rsid w:val="00C12C84"/>
    <w:rsid w:val="00D0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C5"/>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autoRedefine/>
    <w:qFormat/>
    <w:rsid w:val="000D53C5"/>
    <w:pPr>
      <w:keepNext/>
      <w:spacing w:line="240" w:lineRule="atLeast"/>
      <w:jc w:val="center"/>
      <w:outlineLvl w:val="1"/>
    </w:pPr>
    <w:rPr>
      <w:rFonts w:ascii="Arial Black" w:hAnsi="Arial Black"/>
      <w:caps/>
      <w:spacing w:val="-10"/>
    </w:rPr>
  </w:style>
  <w:style w:type="paragraph" w:styleId="Heading5">
    <w:name w:val="heading 5"/>
    <w:basedOn w:val="Normal"/>
    <w:next w:val="Normal"/>
    <w:link w:val="Heading5Char"/>
    <w:qFormat/>
    <w:rsid w:val="000D53C5"/>
    <w:pPr>
      <w:keepNext/>
      <w:tabs>
        <w:tab w:val="left" w:pos="3600"/>
      </w:tabs>
      <w:ind w:left="720"/>
      <w:jc w:val="righ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3C5"/>
    <w:rPr>
      <w:rFonts w:ascii="Arial Black" w:eastAsia="Times New Roman" w:hAnsi="Arial Black" w:cs="Times New Roman"/>
      <w:caps/>
      <w:spacing w:val="-10"/>
      <w:sz w:val="24"/>
      <w:szCs w:val="20"/>
    </w:rPr>
  </w:style>
  <w:style w:type="character" w:customStyle="1" w:styleId="Heading5Char">
    <w:name w:val="Heading 5 Char"/>
    <w:basedOn w:val="DefaultParagraphFont"/>
    <w:link w:val="Heading5"/>
    <w:rsid w:val="000D53C5"/>
    <w:rPr>
      <w:rFonts w:ascii="Times New Roman" w:eastAsia="Times New Roman" w:hAnsi="Times New Roman" w:cs="Times New Roman"/>
      <w:b/>
      <w:sz w:val="28"/>
      <w:szCs w:val="20"/>
    </w:rPr>
  </w:style>
  <w:style w:type="paragraph" w:customStyle="1" w:styleId="t5">
    <w:name w:val="t5"/>
    <w:basedOn w:val="Normal"/>
    <w:rsid w:val="000D53C5"/>
    <w:pPr>
      <w:tabs>
        <w:tab w:val="left" w:pos="8060"/>
      </w:tabs>
      <w:spacing w:line="240" w:lineRule="atLeast"/>
      <w:jc w:val="left"/>
    </w:pPr>
    <w:rPr>
      <w:rFonts w:ascii="Chicago" w:hAnsi="Chicago"/>
    </w:rPr>
  </w:style>
  <w:style w:type="paragraph" w:styleId="Header">
    <w:name w:val="header"/>
    <w:basedOn w:val="Normal"/>
    <w:link w:val="HeaderChar"/>
    <w:uiPriority w:val="99"/>
    <w:unhideWhenUsed/>
    <w:rsid w:val="00C12C84"/>
    <w:pPr>
      <w:tabs>
        <w:tab w:val="center" w:pos="4680"/>
        <w:tab w:val="right" w:pos="9360"/>
      </w:tabs>
    </w:pPr>
  </w:style>
  <w:style w:type="character" w:customStyle="1" w:styleId="HeaderChar">
    <w:name w:val="Header Char"/>
    <w:basedOn w:val="DefaultParagraphFont"/>
    <w:link w:val="Header"/>
    <w:uiPriority w:val="99"/>
    <w:rsid w:val="00C12C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C84"/>
    <w:pPr>
      <w:tabs>
        <w:tab w:val="center" w:pos="4680"/>
        <w:tab w:val="right" w:pos="9360"/>
      </w:tabs>
    </w:pPr>
  </w:style>
  <w:style w:type="character" w:customStyle="1" w:styleId="FooterChar">
    <w:name w:val="Footer Char"/>
    <w:basedOn w:val="DefaultParagraphFont"/>
    <w:link w:val="Footer"/>
    <w:uiPriority w:val="99"/>
    <w:rsid w:val="00C12C8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C5"/>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autoRedefine/>
    <w:qFormat/>
    <w:rsid w:val="000D53C5"/>
    <w:pPr>
      <w:keepNext/>
      <w:spacing w:line="240" w:lineRule="atLeast"/>
      <w:jc w:val="center"/>
      <w:outlineLvl w:val="1"/>
    </w:pPr>
    <w:rPr>
      <w:rFonts w:ascii="Arial Black" w:hAnsi="Arial Black"/>
      <w:caps/>
      <w:spacing w:val="-10"/>
    </w:rPr>
  </w:style>
  <w:style w:type="paragraph" w:styleId="Heading5">
    <w:name w:val="heading 5"/>
    <w:basedOn w:val="Normal"/>
    <w:next w:val="Normal"/>
    <w:link w:val="Heading5Char"/>
    <w:qFormat/>
    <w:rsid w:val="000D53C5"/>
    <w:pPr>
      <w:keepNext/>
      <w:tabs>
        <w:tab w:val="left" w:pos="3600"/>
      </w:tabs>
      <w:ind w:left="720"/>
      <w:jc w:val="righ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3C5"/>
    <w:rPr>
      <w:rFonts w:ascii="Arial Black" w:eastAsia="Times New Roman" w:hAnsi="Arial Black" w:cs="Times New Roman"/>
      <w:caps/>
      <w:spacing w:val="-10"/>
      <w:sz w:val="24"/>
      <w:szCs w:val="20"/>
    </w:rPr>
  </w:style>
  <w:style w:type="character" w:customStyle="1" w:styleId="Heading5Char">
    <w:name w:val="Heading 5 Char"/>
    <w:basedOn w:val="DefaultParagraphFont"/>
    <w:link w:val="Heading5"/>
    <w:rsid w:val="000D53C5"/>
    <w:rPr>
      <w:rFonts w:ascii="Times New Roman" w:eastAsia="Times New Roman" w:hAnsi="Times New Roman" w:cs="Times New Roman"/>
      <w:b/>
      <w:sz w:val="28"/>
      <w:szCs w:val="20"/>
    </w:rPr>
  </w:style>
  <w:style w:type="paragraph" w:customStyle="1" w:styleId="t5">
    <w:name w:val="t5"/>
    <w:basedOn w:val="Normal"/>
    <w:rsid w:val="000D53C5"/>
    <w:pPr>
      <w:tabs>
        <w:tab w:val="left" w:pos="8060"/>
      </w:tabs>
      <w:spacing w:line="240" w:lineRule="atLeast"/>
      <w:jc w:val="left"/>
    </w:pPr>
    <w:rPr>
      <w:rFonts w:ascii="Chicago" w:hAnsi="Chicago"/>
    </w:rPr>
  </w:style>
  <w:style w:type="paragraph" w:styleId="Header">
    <w:name w:val="header"/>
    <w:basedOn w:val="Normal"/>
    <w:link w:val="HeaderChar"/>
    <w:uiPriority w:val="99"/>
    <w:unhideWhenUsed/>
    <w:rsid w:val="00C12C84"/>
    <w:pPr>
      <w:tabs>
        <w:tab w:val="center" w:pos="4680"/>
        <w:tab w:val="right" w:pos="9360"/>
      </w:tabs>
    </w:pPr>
  </w:style>
  <w:style w:type="character" w:customStyle="1" w:styleId="HeaderChar">
    <w:name w:val="Header Char"/>
    <w:basedOn w:val="DefaultParagraphFont"/>
    <w:link w:val="Header"/>
    <w:uiPriority w:val="99"/>
    <w:rsid w:val="00C12C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C84"/>
    <w:pPr>
      <w:tabs>
        <w:tab w:val="center" w:pos="4680"/>
        <w:tab w:val="right" w:pos="9360"/>
      </w:tabs>
    </w:pPr>
  </w:style>
  <w:style w:type="character" w:customStyle="1" w:styleId="FooterChar">
    <w:name w:val="Footer Char"/>
    <w:basedOn w:val="DefaultParagraphFont"/>
    <w:link w:val="Footer"/>
    <w:uiPriority w:val="99"/>
    <w:rsid w:val="00C12C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2012-04-08T18:27:00Z</dcterms:created>
  <dcterms:modified xsi:type="dcterms:W3CDTF">2012-04-08T18:27:00Z</dcterms:modified>
</cp:coreProperties>
</file>