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D8" w:rsidRDefault="00B906B3" w:rsidP="003A18C1">
      <w:pPr>
        <w:tabs>
          <w:tab w:val="decimal" w:pos="360"/>
          <w:tab w:val="left" w:pos="720"/>
          <w:tab w:val="left" w:pos="1080"/>
        </w:tabs>
        <w:spacing w:line="237" w:lineRule="atLeast"/>
        <w:ind w:left="720" w:hanging="720"/>
        <w:jc w:val="both"/>
        <w:rPr>
          <w:snapToGrid w:val="0"/>
        </w:rPr>
      </w:pPr>
    </w:p>
    <w:p w:rsidR="003A18C1" w:rsidRDefault="003A18C1" w:rsidP="003A18C1">
      <w:pPr>
        <w:tabs>
          <w:tab w:val="decimal" w:pos="360"/>
          <w:tab w:val="left" w:pos="720"/>
          <w:tab w:val="left" w:pos="1080"/>
        </w:tabs>
        <w:spacing w:line="237" w:lineRule="atLeast"/>
        <w:ind w:left="720" w:hanging="720"/>
        <w:jc w:val="both"/>
        <w:rPr>
          <w:snapToGrid w:val="0"/>
        </w:rPr>
      </w:pPr>
      <w:r>
        <w:rPr>
          <w:snapToGrid w:val="0"/>
        </w:rPr>
        <w:t>1.</w:t>
      </w:r>
      <w:r>
        <w:rPr>
          <w:snapToGrid w:val="0"/>
        </w:rPr>
        <w:tab/>
      </w:r>
      <w:r>
        <w:rPr>
          <w:snapToGrid w:val="0"/>
        </w:rPr>
        <w:tab/>
        <w:t xml:space="preserve">The cost of an intangible asset includes all of the following </w:t>
      </w:r>
      <w:r w:rsidRPr="0083474F">
        <w:rPr>
          <w:i/>
          <w:snapToGrid w:val="0"/>
        </w:rPr>
        <w:t>except</w:t>
      </w:r>
    </w:p>
    <w:p w:rsidR="003A18C1" w:rsidRDefault="003A18C1" w:rsidP="003A18C1">
      <w:pPr>
        <w:tabs>
          <w:tab w:val="decimal" w:pos="360"/>
          <w:tab w:val="left" w:pos="720"/>
          <w:tab w:val="left" w:pos="1080"/>
        </w:tabs>
        <w:spacing w:line="237" w:lineRule="atLeast"/>
        <w:ind w:left="720" w:hanging="720"/>
        <w:jc w:val="both"/>
        <w:rPr>
          <w:snapToGrid w:val="0"/>
        </w:rPr>
      </w:pPr>
      <w:r>
        <w:rPr>
          <w:snapToGrid w:val="0"/>
        </w:rPr>
        <w:tab/>
      </w:r>
      <w:r>
        <w:rPr>
          <w:snapToGrid w:val="0"/>
        </w:rPr>
        <w:tab/>
        <w:t>a.</w:t>
      </w:r>
      <w:r>
        <w:rPr>
          <w:snapToGrid w:val="0"/>
        </w:rPr>
        <w:tab/>
      </w:r>
      <w:proofErr w:type="gramStart"/>
      <w:r>
        <w:rPr>
          <w:snapToGrid w:val="0"/>
        </w:rPr>
        <w:t>purchase</w:t>
      </w:r>
      <w:proofErr w:type="gramEnd"/>
      <w:r>
        <w:rPr>
          <w:snapToGrid w:val="0"/>
        </w:rPr>
        <w:t xml:space="preserve"> price.</w:t>
      </w:r>
    </w:p>
    <w:p w:rsidR="003A18C1" w:rsidRDefault="003A18C1" w:rsidP="003A18C1">
      <w:pPr>
        <w:tabs>
          <w:tab w:val="decimal" w:pos="360"/>
          <w:tab w:val="left" w:pos="720"/>
          <w:tab w:val="left" w:pos="1080"/>
        </w:tabs>
        <w:spacing w:line="237" w:lineRule="atLeast"/>
        <w:ind w:left="720" w:hanging="720"/>
        <w:jc w:val="both"/>
        <w:rPr>
          <w:snapToGrid w:val="0"/>
        </w:rPr>
      </w:pPr>
      <w:r>
        <w:rPr>
          <w:snapToGrid w:val="0"/>
        </w:rPr>
        <w:tab/>
      </w:r>
      <w:r>
        <w:rPr>
          <w:snapToGrid w:val="0"/>
        </w:rPr>
        <w:tab/>
        <w:t>b.</w:t>
      </w:r>
      <w:r>
        <w:rPr>
          <w:snapToGrid w:val="0"/>
        </w:rPr>
        <w:tab/>
      </w:r>
      <w:proofErr w:type="gramStart"/>
      <w:r>
        <w:rPr>
          <w:snapToGrid w:val="0"/>
        </w:rPr>
        <w:t>legal</w:t>
      </w:r>
      <w:proofErr w:type="gramEnd"/>
      <w:r>
        <w:rPr>
          <w:snapToGrid w:val="0"/>
        </w:rPr>
        <w:t xml:space="preserve"> fees.</w:t>
      </w:r>
    </w:p>
    <w:p w:rsidR="003A18C1" w:rsidRDefault="003A18C1" w:rsidP="003A18C1">
      <w:pPr>
        <w:tabs>
          <w:tab w:val="decimal" w:pos="360"/>
          <w:tab w:val="left" w:pos="720"/>
          <w:tab w:val="left" w:pos="1080"/>
        </w:tabs>
        <w:spacing w:line="237" w:lineRule="atLeast"/>
        <w:ind w:left="720" w:hanging="720"/>
        <w:jc w:val="both"/>
        <w:rPr>
          <w:snapToGrid w:val="0"/>
        </w:rPr>
      </w:pPr>
      <w:r>
        <w:rPr>
          <w:snapToGrid w:val="0"/>
        </w:rPr>
        <w:tab/>
      </w:r>
      <w:r>
        <w:rPr>
          <w:snapToGrid w:val="0"/>
        </w:rPr>
        <w:tab/>
        <w:t>c.</w:t>
      </w:r>
      <w:r>
        <w:rPr>
          <w:snapToGrid w:val="0"/>
        </w:rPr>
        <w:tab/>
      </w:r>
      <w:proofErr w:type="gramStart"/>
      <w:r>
        <w:rPr>
          <w:snapToGrid w:val="0"/>
        </w:rPr>
        <w:t>other</w:t>
      </w:r>
      <w:proofErr w:type="gramEnd"/>
      <w:r>
        <w:rPr>
          <w:snapToGrid w:val="0"/>
        </w:rPr>
        <w:t xml:space="preserve"> incidental expenses.</w:t>
      </w:r>
    </w:p>
    <w:p w:rsidR="003A18C1" w:rsidRDefault="003A18C1" w:rsidP="003A18C1">
      <w:pPr>
        <w:tabs>
          <w:tab w:val="decimal" w:pos="360"/>
          <w:tab w:val="left" w:pos="720"/>
          <w:tab w:val="left" w:pos="1080"/>
        </w:tabs>
        <w:spacing w:line="237" w:lineRule="atLeast"/>
        <w:ind w:left="720" w:hanging="720"/>
        <w:jc w:val="both"/>
        <w:rPr>
          <w:snapToGrid w:val="0"/>
        </w:rPr>
      </w:pPr>
      <w:r>
        <w:rPr>
          <w:snapToGrid w:val="0"/>
        </w:rPr>
        <w:tab/>
      </w:r>
      <w:r>
        <w:rPr>
          <w:snapToGrid w:val="0"/>
        </w:rPr>
        <w:tab/>
        <w:t>d.</w:t>
      </w:r>
      <w:r>
        <w:rPr>
          <w:snapToGrid w:val="0"/>
        </w:rPr>
        <w:tab/>
      </w:r>
      <w:proofErr w:type="gramStart"/>
      <w:r>
        <w:rPr>
          <w:snapToGrid w:val="0"/>
        </w:rPr>
        <w:t>all</w:t>
      </w:r>
      <w:proofErr w:type="gramEnd"/>
      <w:r>
        <w:rPr>
          <w:snapToGrid w:val="0"/>
        </w:rPr>
        <w:t xml:space="preserve"> of these are included.</w:t>
      </w:r>
    </w:p>
    <w:p w:rsidR="003A18C1" w:rsidRDefault="003A18C1" w:rsidP="003A18C1"/>
    <w:p w:rsidR="003A18C1" w:rsidRDefault="003A18C1" w:rsidP="003A18C1">
      <w:pPr>
        <w:tabs>
          <w:tab w:val="decimal" w:pos="360"/>
          <w:tab w:val="left" w:pos="720"/>
          <w:tab w:val="left" w:pos="1080"/>
        </w:tabs>
        <w:ind w:left="720" w:hanging="720"/>
        <w:jc w:val="both"/>
        <w:rPr>
          <w:snapToGrid w:val="0"/>
        </w:rPr>
      </w:pPr>
      <w:r>
        <w:rPr>
          <w:snapToGrid w:val="0"/>
        </w:rPr>
        <w:t>2.</w:t>
      </w:r>
      <w:r>
        <w:rPr>
          <w:snapToGrid w:val="0"/>
        </w:rPr>
        <w:tab/>
        <w:t xml:space="preserve">  </w:t>
      </w:r>
      <w:r>
        <w:rPr>
          <w:snapToGrid w:val="0"/>
        </w:rPr>
        <w:tab/>
        <w:t>When a patent is amortized, the credit is usually made to</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r>
      <w:proofErr w:type="gramStart"/>
      <w:r>
        <w:rPr>
          <w:snapToGrid w:val="0"/>
        </w:rPr>
        <w:t>the</w:t>
      </w:r>
      <w:proofErr w:type="gramEnd"/>
      <w:r>
        <w:rPr>
          <w:snapToGrid w:val="0"/>
        </w:rPr>
        <w:t xml:space="preserve"> Patent account.</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r>
      <w:proofErr w:type="gramStart"/>
      <w:r>
        <w:rPr>
          <w:snapToGrid w:val="0"/>
        </w:rPr>
        <w:t>an</w:t>
      </w:r>
      <w:proofErr w:type="gramEnd"/>
      <w:r>
        <w:rPr>
          <w:snapToGrid w:val="0"/>
        </w:rPr>
        <w:t xml:space="preserve"> Accumulated Amortization account.</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r>
      <w:proofErr w:type="gramStart"/>
      <w:r>
        <w:rPr>
          <w:snapToGrid w:val="0"/>
        </w:rPr>
        <w:t>a</w:t>
      </w:r>
      <w:proofErr w:type="gramEnd"/>
      <w:r>
        <w:rPr>
          <w:snapToGrid w:val="0"/>
        </w:rPr>
        <w:t xml:space="preserve"> Deferred Credit account.</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r>
      <w:proofErr w:type="gramStart"/>
      <w:r>
        <w:rPr>
          <w:snapToGrid w:val="0"/>
        </w:rPr>
        <w:t>an</w:t>
      </w:r>
      <w:proofErr w:type="gramEnd"/>
      <w:r>
        <w:rPr>
          <w:snapToGrid w:val="0"/>
        </w:rPr>
        <w:t xml:space="preserve"> expense account.</w:t>
      </w:r>
    </w:p>
    <w:p w:rsidR="003A18C1" w:rsidRDefault="003A18C1" w:rsidP="003A18C1">
      <w:pPr>
        <w:tabs>
          <w:tab w:val="decimal" w:pos="360"/>
          <w:tab w:val="left" w:pos="720"/>
          <w:tab w:val="left" w:pos="1080"/>
        </w:tabs>
        <w:ind w:left="720" w:hanging="720"/>
        <w:jc w:val="both"/>
        <w:rPr>
          <w:snapToGrid w:val="0"/>
        </w:rPr>
      </w:pPr>
    </w:p>
    <w:p w:rsidR="003A18C1" w:rsidRDefault="003A18C1" w:rsidP="003A18C1">
      <w:pPr>
        <w:tabs>
          <w:tab w:val="decimal" w:pos="360"/>
          <w:tab w:val="left" w:pos="720"/>
          <w:tab w:val="left" w:pos="1080"/>
        </w:tabs>
        <w:ind w:left="720" w:hanging="720"/>
        <w:jc w:val="both"/>
        <w:rPr>
          <w:snapToGrid w:val="0"/>
        </w:rPr>
      </w:pPr>
      <w:r>
        <w:rPr>
          <w:snapToGrid w:val="0"/>
        </w:rPr>
        <w:t>3.</w:t>
      </w:r>
      <w:r>
        <w:rPr>
          <w:snapToGrid w:val="0"/>
        </w:rPr>
        <w:tab/>
      </w:r>
      <w:r>
        <w:rPr>
          <w:snapToGrid w:val="0"/>
        </w:rPr>
        <w:tab/>
        <w:t>Easton Company and Lofton Company were combined in a purchase transaction. Easton was able to acquire Lofton at a bargain price. The sum of the market or appraised values of identifiable assets acquired less the fair value of liabilities assumed exceeded the cost to Easton. After revaluing noncurrent assets to zero, there was still some "negative goodwill."  Proper treatment by Easton is to report the amount as</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a.</w:t>
      </w:r>
      <w:r>
        <w:rPr>
          <w:snapToGrid w:val="0"/>
        </w:rPr>
        <w:tab/>
      </w:r>
      <w:proofErr w:type="gramStart"/>
      <w:r>
        <w:rPr>
          <w:snapToGrid w:val="0"/>
        </w:rPr>
        <w:t>an</w:t>
      </w:r>
      <w:proofErr w:type="gramEnd"/>
      <w:r>
        <w:rPr>
          <w:snapToGrid w:val="0"/>
        </w:rPr>
        <w:t xml:space="preserve"> extraordinary gain.</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r>
      <w:proofErr w:type="gramStart"/>
      <w:r>
        <w:rPr>
          <w:snapToGrid w:val="0"/>
        </w:rPr>
        <w:t>part</w:t>
      </w:r>
      <w:proofErr w:type="gramEnd"/>
      <w:r>
        <w:rPr>
          <w:snapToGrid w:val="0"/>
        </w:rPr>
        <w:t xml:space="preserve"> of current income in the year of combination.</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r>
      <w:proofErr w:type="gramStart"/>
      <w:r>
        <w:rPr>
          <w:snapToGrid w:val="0"/>
        </w:rPr>
        <w:t>a</w:t>
      </w:r>
      <w:proofErr w:type="gramEnd"/>
      <w:r>
        <w:rPr>
          <w:snapToGrid w:val="0"/>
        </w:rPr>
        <w:t xml:space="preserve"> deferred credit and amortize it.</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r>
      <w:proofErr w:type="gramStart"/>
      <w:r>
        <w:rPr>
          <w:snapToGrid w:val="0"/>
        </w:rPr>
        <w:t>paid</w:t>
      </w:r>
      <w:proofErr w:type="gramEnd"/>
      <w:r>
        <w:rPr>
          <w:snapToGrid w:val="0"/>
        </w:rPr>
        <w:t>-in capital.</w:t>
      </w:r>
    </w:p>
    <w:p w:rsidR="003A18C1" w:rsidRPr="00460E0F" w:rsidRDefault="003A18C1" w:rsidP="003A18C1">
      <w:pPr>
        <w:tabs>
          <w:tab w:val="decimal" w:pos="360"/>
          <w:tab w:val="left" w:pos="720"/>
          <w:tab w:val="left" w:pos="1080"/>
        </w:tabs>
        <w:ind w:left="720" w:hanging="720"/>
        <w:jc w:val="both"/>
        <w:rPr>
          <w:snapToGrid w:val="0"/>
          <w:szCs w:val="22"/>
        </w:rPr>
      </w:pPr>
    </w:p>
    <w:p w:rsidR="003A18C1" w:rsidRPr="00460E0F" w:rsidRDefault="003A18C1" w:rsidP="003A18C1">
      <w:pPr>
        <w:tabs>
          <w:tab w:val="decimal" w:pos="360"/>
          <w:tab w:val="left" w:pos="720"/>
          <w:tab w:val="left" w:pos="1080"/>
        </w:tabs>
        <w:ind w:left="720" w:hanging="720"/>
        <w:jc w:val="both"/>
        <w:rPr>
          <w:snapToGrid w:val="0"/>
          <w:szCs w:val="22"/>
        </w:rPr>
      </w:pPr>
      <w:r>
        <w:rPr>
          <w:snapToGrid w:val="0"/>
          <w:szCs w:val="22"/>
        </w:rPr>
        <w:t>4.</w:t>
      </w:r>
      <w:r>
        <w:rPr>
          <w:snapToGrid w:val="0"/>
          <w:szCs w:val="22"/>
        </w:rPr>
        <w:tab/>
      </w:r>
      <w:r>
        <w:rPr>
          <w:snapToGrid w:val="0"/>
          <w:szCs w:val="22"/>
        </w:rPr>
        <w:tab/>
        <w:t xml:space="preserve">A loss on impairment of an intangible asset is the difference between the </w:t>
      </w:r>
      <w:proofErr w:type="gramStart"/>
      <w:r>
        <w:rPr>
          <w:snapToGrid w:val="0"/>
          <w:szCs w:val="22"/>
        </w:rPr>
        <w:t>asset’s</w:t>
      </w:r>
      <w:proofErr w:type="gramEnd"/>
      <w:r>
        <w:rPr>
          <w:snapToGrid w:val="0"/>
          <w:szCs w:val="22"/>
        </w:rPr>
        <w:t xml:space="preserve"> </w:t>
      </w:r>
    </w:p>
    <w:p w:rsidR="003A18C1" w:rsidRDefault="003A18C1" w:rsidP="003A18C1">
      <w:pPr>
        <w:tabs>
          <w:tab w:val="decimal" w:pos="360"/>
          <w:tab w:val="left" w:pos="720"/>
          <w:tab w:val="left" w:pos="1080"/>
        </w:tabs>
        <w:ind w:left="720" w:hanging="720"/>
        <w:jc w:val="both"/>
        <w:rPr>
          <w:snapToGrid w:val="0"/>
          <w:szCs w:val="22"/>
        </w:rPr>
      </w:pPr>
      <w:r>
        <w:rPr>
          <w:snapToGrid w:val="0"/>
          <w:szCs w:val="22"/>
        </w:rPr>
        <w:tab/>
      </w:r>
      <w:r>
        <w:rPr>
          <w:snapToGrid w:val="0"/>
          <w:szCs w:val="22"/>
        </w:rPr>
        <w:tab/>
        <w:t>a.</w:t>
      </w:r>
      <w:r>
        <w:rPr>
          <w:snapToGrid w:val="0"/>
          <w:szCs w:val="22"/>
        </w:rPr>
        <w:tab/>
      </w:r>
      <w:proofErr w:type="gramStart"/>
      <w:r>
        <w:rPr>
          <w:snapToGrid w:val="0"/>
          <w:szCs w:val="22"/>
        </w:rPr>
        <w:t>carrying</w:t>
      </w:r>
      <w:proofErr w:type="gramEnd"/>
      <w:r>
        <w:rPr>
          <w:snapToGrid w:val="0"/>
          <w:szCs w:val="22"/>
        </w:rPr>
        <w:t xml:space="preserve"> amount and the expected future net cash flows.</w:t>
      </w:r>
    </w:p>
    <w:p w:rsidR="003A18C1" w:rsidRDefault="003A18C1" w:rsidP="003A18C1">
      <w:pPr>
        <w:tabs>
          <w:tab w:val="decimal" w:pos="360"/>
          <w:tab w:val="left" w:pos="720"/>
          <w:tab w:val="left" w:pos="1080"/>
        </w:tabs>
        <w:ind w:left="720" w:hanging="720"/>
        <w:jc w:val="both"/>
        <w:rPr>
          <w:snapToGrid w:val="0"/>
          <w:szCs w:val="22"/>
        </w:rPr>
      </w:pPr>
      <w:r>
        <w:rPr>
          <w:snapToGrid w:val="0"/>
          <w:szCs w:val="22"/>
        </w:rPr>
        <w:tab/>
      </w:r>
      <w:r>
        <w:rPr>
          <w:snapToGrid w:val="0"/>
          <w:szCs w:val="22"/>
        </w:rPr>
        <w:tab/>
        <w:t>b.</w:t>
      </w:r>
      <w:r>
        <w:rPr>
          <w:snapToGrid w:val="0"/>
          <w:szCs w:val="22"/>
        </w:rPr>
        <w:tab/>
      </w:r>
      <w:proofErr w:type="gramStart"/>
      <w:r>
        <w:rPr>
          <w:snapToGrid w:val="0"/>
          <w:szCs w:val="22"/>
        </w:rPr>
        <w:t>carrying</w:t>
      </w:r>
      <w:proofErr w:type="gramEnd"/>
      <w:r>
        <w:rPr>
          <w:snapToGrid w:val="0"/>
          <w:szCs w:val="22"/>
        </w:rPr>
        <w:t xml:space="preserve"> amount and its fair value.</w:t>
      </w:r>
    </w:p>
    <w:p w:rsidR="003A18C1" w:rsidRDefault="003A18C1" w:rsidP="003A18C1">
      <w:pPr>
        <w:tabs>
          <w:tab w:val="decimal" w:pos="360"/>
          <w:tab w:val="left" w:pos="720"/>
          <w:tab w:val="left" w:pos="1080"/>
        </w:tabs>
        <w:ind w:left="720" w:hanging="720"/>
        <w:jc w:val="both"/>
        <w:rPr>
          <w:snapToGrid w:val="0"/>
          <w:szCs w:val="22"/>
        </w:rPr>
      </w:pPr>
      <w:r>
        <w:rPr>
          <w:snapToGrid w:val="0"/>
          <w:szCs w:val="22"/>
        </w:rPr>
        <w:tab/>
      </w:r>
      <w:r>
        <w:rPr>
          <w:snapToGrid w:val="0"/>
          <w:szCs w:val="22"/>
        </w:rPr>
        <w:tab/>
        <w:t>c.</w:t>
      </w:r>
      <w:r>
        <w:rPr>
          <w:snapToGrid w:val="0"/>
          <w:szCs w:val="22"/>
        </w:rPr>
        <w:tab/>
      </w:r>
      <w:proofErr w:type="gramStart"/>
      <w:r>
        <w:rPr>
          <w:snapToGrid w:val="0"/>
          <w:szCs w:val="22"/>
        </w:rPr>
        <w:t>fair</w:t>
      </w:r>
      <w:proofErr w:type="gramEnd"/>
      <w:r>
        <w:rPr>
          <w:snapToGrid w:val="0"/>
          <w:szCs w:val="22"/>
        </w:rPr>
        <w:t xml:space="preserve"> value and the expected future net cash flows.</w:t>
      </w:r>
    </w:p>
    <w:p w:rsidR="003A18C1" w:rsidRDefault="003A18C1" w:rsidP="003A18C1">
      <w:pPr>
        <w:tabs>
          <w:tab w:val="decimal" w:pos="360"/>
          <w:tab w:val="left" w:pos="720"/>
          <w:tab w:val="left" w:pos="1080"/>
        </w:tabs>
        <w:ind w:left="720" w:hanging="720"/>
        <w:jc w:val="both"/>
        <w:rPr>
          <w:snapToGrid w:val="0"/>
          <w:szCs w:val="22"/>
        </w:rPr>
      </w:pPr>
      <w:r>
        <w:rPr>
          <w:snapToGrid w:val="0"/>
          <w:szCs w:val="22"/>
        </w:rPr>
        <w:tab/>
      </w:r>
      <w:r>
        <w:rPr>
          <w:snapToGrid w:val="0"/>
          <w:szCs w:val="22"/>
        </w:rPr>
        <w:tab/>
        <w:t>d.</w:t>
      </w:r>
      <w:r>
        <w:rPr>
          <w:snapToGrid w:val="0"/>
          <w:szCs w:val="22"/>
        </w:rPr>
        <w:tab/>
      </w:r>
      <w:proofErr w:type="gramStart"/>
      <w:r>
        <w:rPr>
          <w:snapToGrid w:val="0"/>
          <w:szCs w:val="22"/>
        </w:rPr>
        <w:t>book</w:t>
      </w:r>
      <w:proofErr w:type="gramEnd"/>
      <w:r>
        <w:rPr>
          <w:snapToGrid w:val="0"/>
          <w:szCs w:val="22"/>
        </w:rPr>
        <w:t xml:space="preserve"> value and its fair value.</w:t>
      </w:r>
    </w:p>
    <w:p w:rsidR="003A18C1" w:rsidRDefault="003A18C1" w:rsidP="003A18C1">
      <w:pPr>
        <w:tabs>
          <w:tab w:val="decimal" w:pos="360"/>
          <w:tab w:val="left" w:pos="720"/>
          <w:tab w:val="left" w:pos="1080"/>
        </w:tabs>
        <w:ind w:left="720" w:hanging="720"/>
        <w:jc w:val="both"/>
        <w:rPr>
          <w:snapToGrid w:val="0"/>
        </w:rPr>
      </w:pPr>
      <w:r>
        <w:rPr>
          <w:snapToGrid w:val="0"/>
        </w:rPr>
        <w:tab/>
      </w:r>
    </w:p>
    <w:p w:rsidR="003A18C1" w:rsidRDefault="003A18C1" w:rsidP="003A18C1">
      <w:pPr>
        <w:tabs>
          <w:tab w:val="decimal" w:pos="360"/>
          <w:tab w:val="left" w:pos="720"/>
          <w:tab w:val="left" w:pos="1080"/>
        </w:tabs>
        <w:ind w:left="720" w:hanging="720"/>
        <w:jc w:val="both"/>
        <w:rPr>
          <w:snapToGrid w:val="0"/>
        </w:rPr>
      </w:pPr>
      <w:r>
        <w:rPr>
          <w:snapToGrid w:val="0"/>
        </w:rPr>
        <w:t>5.</w:t>
      </w:r>
      <w:r>
        <w:rPr>
          <w:snapToGrid w:val="0"/>
        </w:rPr>
        <w:tab/>
      </w:r>
      <w:r>
        <w:rPr>
          <w:snapToGrid w:val="0"/>
        </w:rPr>
        <w:tab/>
        <w:t>How should research and development costs be accounted for, according to a Financial Accounting Standards Board Statement?</w:t>
      </w:r>
    </w:p>
    <w:p w:rsidR="003A18C1" w:rsidRDefault="003A18C1" w:rsidP="003A18C1">
      <w:pPr>
        <w:tabs>
          <w:tab w:val="decimal" w:pos="360"/>
          <w:tab w:val="left" w:pos="720"/>
          <w:tab w:val="left" w:pos="1080"/>
        </w:tabs>
        <w:ind w:left="1080" w:hanging="360"/>
        <w:jc w:val="both"/>
        <w:rPr>
          <w:snapToGrid w:val="0"/>
        </w:rPr>
      </w:pPr>
      <w:r>
        <w:rPr>
          <w:snapToGrid w:val="0"/>
        </w:rPr>
        <w:t>a.</w:t>
      </w:r>
      <w:r>
        <w:rPr>
          <w:snapToGrid w:val="0"/>
        </w:rPr>
        <w:tab/>
        <w:t>Must be capitalized when incurred and then amortized over their estimated useful lives.</w:t>
      </w:r>
    </w:p>
    <w:p w:rsidR="003A18C1" w:rsidRDefault="003A18C1" w:rsidP="003A18C1">
      <w:pPr>
        <w:tabs>
          <w:tab w:val="decimal" w:pos="360"/>
          <w:tab w:val="left" w:pos="720"/>
          <w:tab w:val="left" w:pos="1080"/>
        </w:tabs>
        <w:ind w:left="1080" w:hanging="360"/>
        <w:jc w:val="both"/>
        <w:rPr>
          <w:snapToGrid w:val="0"/>
        </w:rPr>
      </w:pPr>
      <w:r>
        <w:rPr>
          <w:snapToGrid w:val="0"/>
        </w:rPr>
        <w:t>b.</w:t>
      </w:r>
      <w:r>
        <w:rPr>
          <w:snapToGrid w:val="0"/>
        </w:rPr>
        <w:tab/>
        <w:t>Must be expensed in the period incurred.</w:t>
      </w:r>
    </w:p>
    <w:p w:rsidR="003A18C1" w:rsidRDefault="003A18C1" w:rsidP="003A18C1">
      <w:pPr>
        <w:tabs>
          <w:tab w:val="decimal" w:pos="360"/>
          <w:tab w:val="left" w:pos="720"/>
          <w:tab w:val="left" w:pos="1080"/>
        </w:tabs>
        <w:ind w:left="1080" w:hanging="360"/>
        <w:jc w:val="both"/>
        <w:rPr>
          <w:snapToGrid w:val="0"/>
        </w:rPr>
      </w:pPr>
      <w:r>
        <w:rPr>
          <w:snapToGrid w:val="0"/>
        </w:rPr>
        <w:t>c.</w:t>
      </w:r>
      <w:r>
        <w:rPr>
          <w:snapToGrid w:val="0"/>
        </w:rPr>
        <w:tab/>
        <w:t>May be either capitalized or expensed when incurred, depending upon the materiality of the amounts involved.</w:t>
      </w:r>
    </w:p>
    <w:p w:rsidR="003A18C1" w:rsidRDefault="003A18C1" w:rsidP="003A18C1">
      <w:pPr>
        <w:tabs>
          <w:tab w:val="decimal" w:pos="360"/>
          <w:tab w:val="left" w:pos="720"/>
          <w:tab w:val="left" w:pos="1080"/>
        </w:tabs>
        <w:ind w:left="1080" w:hanging="360"/>
        <w:jc w:val="both"/>
        <w:rPr>
          <w:snapToGrid w:val="0"/>
        </w:rPr>
      </w:pPr>
      <w:r>
        <w:rPr>
          <w:snapToGrid w:val="0"/>
        </w:rPr>
        <w:t>d.</w:t>
      </w:r>
      <w:r>
        <w:rPr>
          <w:snapToGrid w:val="0"/>
        </w:rPr>
        <w:tab/>
        <w:t>Must be expensed in the period incurred unless it can be clearly demonstrated that the expenditure will have alternative future uses or unless contractually reimbursable.</w:t>
      </w:r>
    </w:p>
    <w:p w:rsidR="003A18C1" w:rsidRDefault="003A18C1" w:rsidP="003A18C1">
      <w:pPr>
        <w:tabs>
          <w:tab w:val="decimal" w:pos="360"/>
          <w:tab w:val="left" w:pos="720"/>
          <w:tab w:val="left" w:pos="1080"/>
        </w:tabs>
        <w:spacing w:line="237" w:lineRule="atLeast"/>
        <w:ind w:left="720" w:hanging="720"/>
        <w:jc w:val="both"/>
        <w:rPr>
          <w:b/>
          <w:bCs/>
          <w:snapToGrid w:val="0"/>
        </w:rPr>
      </w:pPr>
    </w:p>
    <w:p w:rsidR="003A18C1" w:rsidRDefault="003A18C1" w:rsidP="003A18C1">
      <w:pPr>
        <w:tabs>
          <w:tab w:val="decimal" w:pos="360"/>
          <w:tab w:val="left" w:pos="720"/>
          <w:tab w:val="left" w:pos="1080"/>
        </w:tabs>
        <w:ind w:left="720" w:hanging="720"/>
        <w:jc w:val="both"/>
        <w:rPr>
          <w:snapToGrid w:val="0"/>
        </w:rPr>
      </w:pPr>
      <w:r>
        <w:rPr>
          <w:snapToGrid w:val="0"/>
        </w:rPr>
        <w:t>6.</w:t>
      </w:r>
      <w:r>
        <w:rPr>
          <w:snapToGrid w:val="0"/>
        </w:rPr>
        <w:tab/>
      </w:r>
      <w:r>
        <w:rPr>
          <w:snapToGrid w:val="0"/>
        </w:rPr>
        <w:tab/>
        <w:t>Among the short-term obligations of Lance Company as of December 31, the balance sheet date, are notes payable totaling $250,000 with the Madison National Bank.  These are 90-day notes, renewable for another 90-day period.  These notes should be classified on the balance sheet of Lance Company as</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r>
      <w:r w:rsidRPr="00EA33BF">
        <w:rPr>
          <w:snapToGrid w:val="0"/>
        </w:rPr>
        <w:t>a.</w:t>
      </w:r>
      <w:r w:rsidRPr="00EA33BF">
        <w:rPr>
          <w:snapToGrid w:val="0"/>
        </w:rPr>
        <w:tab/>
      </w:r>
      <w:proofErr w:type="gramStart"/>
      <w:r w:rsidRPr="00EA33BF">
        <w:rPr>
          <w:snapToGrid w:val="0"/>
        </w:rPr>
        <w:t>current</w:t>
      </w:r>
      <w:proofErr w:type="gramEnd"/>
      <w:r w:rsidRPr="00EA33BF">
        <w:rPr>
          <w:snapToGrid w:val="0"/>
        </w:rPr>
        <w:t xml:space="preserve"> liabilities.</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r>
      <w:proofErr w:type="gramStart"/>
      <w:r>
        <w:rPr>
          <w:snapToGrid w:val="0"/>
        </w:rPr>
        <w:t>deferred</w:t>
      </w:r>
      <w:proofErr w:type="gramEnd"/>
      <w:r>
        <w:rPr>
          <w:snapToGrid w:val="0"/>
        </w:rPr>
        <w:t xml:space="preserve"> charges.</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r>
      <w:proofErr w:type="gramStart"/>
      <w:r>
        <w:rPr>
          <w:snapToGrid w:val="0"/>
        </w:rPr>
        <w:t>long</w:t>
      </w:r>
      <w:proofErr w:type="gramEnd"/>
      <w:r>
        <w:rPr>
          <w:snapToGrid w:val="0"/>
        </w:rPr>
        <w:t>-term liabilities.</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r>
      <w:proofErr w:type="gramStart"/>
      <w:r>
        <w:rPr>
          <w:snapToGrid w:val="0"/>
        </w:rPr>
        <w:t>intermediate</w:t>
      </w:r>
      <w:proofErr w:type="gramEnd"/>
      <w:r>
        <w:rPr>
          <w:snapToGrid w:val="0"/>
        </w:rPr>
        <w:t xml:space="preserve"> debt.</w:t>
      </w:r>
    </w:p>
    <w:p w:rsidR="003A18C1" w:rsidRDefault="003A18C1" w:rsidP="003A18C1"/>
    <w:p w:rsidR="003A18C1" w:rsidRDefault="003A18C1" w:rsidP="003A18C1">
      <w:pPr>
        <w:tabs>
          <w:tab w:val="decimal" w:pos="360"/>
          <w:tab w:val="left" w:pos="720"/>
          <w:tab w:val="left" w:pos="1080"/>
        </w:tabs>
        <w:ind w:left="720" w:hanging="720"/>
        <w:jc w:val="both"/>
        <w:rPr>
          <w:snapToGrid w:val="0"/>
        </w:rPr>
      </w:pPr>
      <w:r>
        <w:rPr>
          <w:snapToGrid w:val="0"/>
        </w:rPr>
        <w:t>7.</w:t>
      </w:r>
      <w:r>
        <w:rPr>
          <w:snapToGrid w:val="0"/>
        </w:rPr>
        <w:tab/>
      </w:r>
      <w:r>
        <w:rPr>
          <w:snapToGrid w:val="0"/>
        </w:rPr>
        <w:tab/>
        <w:t>Which of the following statements is correct?</w:t>
      </w:r>
    </w:p>
    <w:p w:rsidR="003A18C1" w:rsidRDefault="003A18C1" w:rsidP="003A18C1">
      <w:pPr>
        <w:tabs>
          <w:tab w:val="decimal" w:pos="360"/>
          <w:tab w:val="left" w:pos="720"/>
          <w:tab w:val="left" w:pos="1080"/>
        </w:tabs>
        <w:ind w:left="1080" w:hanging="360"/>
        <w:jc w:val="both"/>
        <w:rPr>
          <w:snapToGrid w:val="0"/>
        </w:rPr>
      </w:pPr>
      <w:r>
        <w:rPr>
          <w:snapToGrid w:val="0"/>
        </w:rPr>
        <w:t>a.</w:t>
      </w:r>
      <w:r>
        <w:rPr>
          <w:snapToGrid w:val="0"/>
        </w:rPr>
        <w:tab/>
        <w:t>A company may exclude a short-term obligation from current liabilities if the firm intends to refinance the obligation on a long-term basis.</w:t>
      </w:r>
    </w:p>
    <w:p w:rsidR="003A18C1" w:rsidRDefault="003A18C1" w:rsidP="003A18C1">
      <w:pPr>
        <w:tabs>
          <w:tab w:val="decimal" w:pos="360"/>
          <w:tab w:val="left" w:pos="720"/>
          <w:tab w:val="left" w:pos="1080"/>
        </w:tabs>
        <w:ind w:left="1080" w:hanging="360"/>
        <w:jc w:val="both"/>
        <w:rPr>
          <w:snapToGrid w:val="0"/>
        </w:rPr>
      </w:pPr>
      <w:r>
        <w:rPr>
          <w:snapToGrid w:val="0"/>
        </w:rPr>
        <w:t>b.</w:t>
      </w:r>
      <w:r>
        <w:rPr>
          <w:snapToGrid w:val="0"/>
        </w:rPr>
        <w:tab/>
        <w:t>A company may exclude a short-term obligation from current liabilities if the firm can demonstrate an ability to consummate a refinancing.</w:t>
      </w:r>
    </w:p>
    <w:p w:rsidR="003A18C1" w:rsidRDefault="003A18C1" w:rsidP="003A18C1">
      <w:pPr>
        <w:tabs>
          <w:tab w:val="decimal" w:pos="360"/>
          <w:tab w:val="left" w:pos="720"/>
          <w:tab w:val="left" w:pos="1080"/>
        </w:tabs>
        <w:ind w:left="1080" w:hanging="360"/>
        <w:jc w:val="both"/>
        <w:rPr>
          <w:snapToGrid w:val="0"/>
        </w:rPr>
      </w:pPr>
      <w:r>
        <w:rPr>
          <w:snapToGrid w:val="0"/>
        </w:rPr>
        <w:t>c.</w:t>
      </w:r>
      <w:r>
        <w:rPr>
          <w:snapToGrid w:val="0"/>
        </w:rPr>
        <w:tab/>
        <w:t>A company may exclude a short-term obligation from current liabilities if it is paid off after the balance sheet date and subsequently replaced by long-term debt before the balance sheet is issued.</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r>
      <w:r w:rsidRPr="00EA33BF">
        <w:rPr>
          <w:snapToGrid w:val="0"/>
        </w:rPr>
        <w:t>d.</w:t>
      </w:r>
      <w:r w:rsidRPr="00EA33BF">
        <w:rPr>
          <w:snapToGrid w:val="0"/>
        </w:rPr>
        <w:tab/>
        <w:t>None of these.</w:t>
      </w:r>
    </w:p>
    <w:p w:rsidR="003A18C1" w:rsidRDefault="003A18C1" w:rsidP="003A18C1">
      <w:pPr>
        <w:tabs>
          <w:tab w:val="decimal" w:pos="360"/>
          <w:tab w:val="left" w:pos="720"/>
          <w:tab w:val="left" w:pos="1080"/>
        </w:tabs>
        <w:ind w:left="720" w:hanging="720"/>
        <w:jc w:val="both"/>
        <w:rPr>
          <w:snapToGrid w:val="0"/>
        </w:rPr>
      </w:pPr>
    </w:p>
    <w:p w:rsidR="003A18C1" w:rsidRDefault="003A18C1" w:rsidP="003A18C1">
      <w:pPr>
        <w:tabs>
          <w:tab w:val="decimal" w:pos="360"/>
          <w:tab w:val="left" w:pos="720"/>
          <w:tab w:val="left" w:pos="1080"/>
        </w:tabs>
        <w:spacing w:line="237" w:lineRule="atLeast"/>
        <w:ind w:left="720" w:hanging="720"/>
        <w:jc w:val="both"/>
        <w:rPr>
          <w:snapToGrid w:val="0"/>
        </w:rPr>
      </w:pPr>
      <w:r>
        <w:rPr>
          <w:snapToGrid w:val="0"/>
        </w:rPr>
        <w:t>8.</w:t>
      </w:r>
      <w:r>
        <w:rPr>
          <w:snapToGrid w:val="0"/>
        </w:rPr>
        <w:tab/>
      </w:r>
      <w:r>
        <w:rPr>
          <w:snapToGrid w:val="0"/>
        </w:rPr>
        <w:tab/>
        <w:t xml:space="preserve">Which of the following statements is </w:t>
      </w:r>
      <w:r>
        <w:rPr>
          <w:i/>
          <w:snapToGrid w:val="0"/>
        </w:rPr>
        <w:t>false?</w:t>
      </w:r>
    </w:p>
    <w:p w:rsidR="003A18C1" w:rsidRDefault="003A18C1" w:rsidP="003A18C1">
      <w:pPr>
        <w:tabs>
          <w:tab w:val="decimal" w:pos="360"/>
          <w:tab w:val="left" w:pos="720"/>
          <w:tab w:val="left" w:pos="1080"/>
        </w:tabs>
        <w:spacing w:line="237" w:lineRule="atLeast"/>
        <w:ind w:left="1080" w:hanging="360"/>
        <w:jc w:val="both"/>
        <w:rPr>
          <w:snapToGrid w:val="0"/>
        </w:rPr>
      </w:pPr>
      <w:r>
        <w:rPr>
          <w:snapToGrid w:val="0"/>
        </w:rPr>
        <w:t>a.</w:t>
      </w:r>
      <w:r>
        <w:rPr>
          <w:snapToGrid w:val="0"/>
        </w:rPr>
        <w:tab/>
        <w:t>A company may exclude a short-term obligation from current liabilities if the firm intends to refinance the obligation on a long-term basis and demonstrates an ability to complete the refinancing.</w:t>
      </w:r>
    </w:p>
    <w:p w:rsidR="003A18C1" w:rsidRDefault="003A18C1" w:rsidP="003A18C1">
      <w:pPr>
        <w:tabs>
          <w:tab w:val="decimal" w:pos="360"/>
          <w:tab w:val="left" w:pos="720"/>
          <w:tab w:val="left" w:pos="1080"/>
        </w:tabs>
        <w:spacing w:line="237" w:lineRule="atLeast"/>
        <w:ind w:left="1080" w:hanging="360"/>
        <w:jc w:val="both"/>
        <w:rPr>
          <w:snapToGrid w:val="0"/>
        </w:rPr>
      </w:pPr>
      <w:r>
        <w:rPr>
          <w:snapToGrid w:val="0"/>
        </w:rPr>
        <w:t>b.</w:t>
      </w:r>
      <w:r>
        <w:rPr>
          <w:snapToGrid w:val="0"/>
        </w:rPr>
        <w:tab/>
        <w:t>Cash dividends should be recorded as a liability when they are declared by the board of directors.</w:t>
      </w:r>
    </w:p>
    <w:p w:rsidR="003A18C1" w:rsidRDefault="003A18C1" w:rsidP="003A18C1">
      <w:pPr>
        <w:tabs>
          <w:tab w:val="decimal" w:pos="360"/>
          <w:tab w:val="left" w:pos="720"/>
          <w:tab w:val="left" w:pos="1080"/>
        </w:tabs>
        <w:spacing w:line="237" w:lineRule="atLeast"/>
        <w:ind w:left="1080" w:hanging="360"/>
        <w:jc w:val="both"/>
        <w:rPr>
          <w:snapToGrid w:val="0"/>
        </w:rPr>
      </w:pPr>
      <w:r>
        <w:rPr>
          <w:snapToGrid w:val="0"/>
        </w:rPr>
        <w:t>c.</w:t>
      </w:r>
      <w:r>
        <w:rPr>
          <w:snapToGrid w:val="0"/>
        </w:rPr>
        <w:tab/>
      </w:r>
      <w:r>
        <w:rPr>
          <w:snapToGrid w:val="0"/>
          <w:spacing w:val="-2"/>
        </w:rPr>
        <w:t>Under the cash basis method, warranty costs are charged to expense as they are paid.</w:t>
      </w:r>
    </w:p>
    <w:p w:rsidR="003A18C1" w:rsidRDefault="003A18C1" w:rsidP="003A18C1">
      <w:pPr>
        <w:tabs>
          <w:tab w:val="decimal" w:pos="360"/>
          <w:tab w:val="left" w:pos="720"/>
          <w:tab w:val="left" w:pos="1080"/>
        </w:tabs>
        <w:spacing w:line="237" w:lineRule="atLeast"/>
        <w:ind w:left="1080" w:hanging="360"/>
        <w:jc w:val="both"/>
        <w:rPr>
          <w:snapToGrid w:val="0"/>
        </w:rPr>
      </w:pPr>
      <w:r w:rsidRPr="00EA33BF">
        <w:rPr>
          <w:snapToGrid w:val="0"/>
        </w:rPr>
        <w:t>d.</w:t>
      </w:r>
      <w:r w:rsidRPr="00EA33BF">
        <w:rPr>
          <w:snapToGrid w:val="0"/>
        </w:rPr>
        <w:tab/>
        <w:t>FICA taxes withheld from employees' payroll checks should never be recorded as a liability since the employer will eventually remit the amounts withheld to the appropriate taxing authority.</w:t>
      </w:r>
    </w:p>
    <w:p w:rsidR="003A18C1" w:rsidRPr="00735512" w:rsidRDefault="003A18C1" w:rsidP="003A18C1">
      <w:pPr>
        <w:tabs>
          <w:tab w:val="decimal" w:pos="360"/>
          <w:tab w:val="left" w:pos="720"/>
          <w:tab w:val="left" w:pos="1080"/>
        </w:tabs>
        <w:spacing w:line="237" w:lineRule="atLeast"/>
        <w:ind w:left="720" w:hanging="720"/>
        <w:jc w:val="both"/>
        <w:rPr>
          <w:snapToGrid w:val="0"/>
          <w:sz w:val="18"/>
          <w:szCs w:val="18"/>
        </w:rPr>
      </w:pPr>
    </w:p>
    <w:p w:rsidR="003A18C1" w:rsidRDefault="003A18C1" w:rsidP="003A18C1">
      <w:pPr>
        <w:tabs>
          <w:tab w:val="decimal" w:pos="360"/>
          <w:tab w:val="left" w:pos="720"/>
          <w:tab w:val="left" w:pos="1080"/>
        </w:tabs>
        <w:spacing w:line="237" w:lineRule="atLeast"/>
        <w:ind w:left="720" w:hanging="720"/>
        <w:jc w:val="both"/>
        <w:rPr>
          <w:snapToGrid w:val="0"/>
        </w:rPr>
      </w:pPr>
      <w:r>
        <w:rPr>
          <w:snapToGrid w:val="0"/>
        </w:rPr>
        <w:t>9.</w:t>
      </w:r>
      <w:r>
        <w:rPr>
          <w:snapToGrid w:val="0"/>
        </w:rPr>
        <w:tab/>
      </w:r>
      <w:r>
        <w:rPr>
          <w:snapToGrid w:val="0"/>
        </w:rPr>
        <w:tab/>
        <w:t xml:space="preserve">Which of these is </w:t>
      </w:r>
      <w:r>
        <w:rPr>
          <w:i/>
          <w:snapToGrid w:val="0"/>
        </w:rPr>
        <w:t>not</w:t>
      </w:r>
      <w:r>
        <w:rPr>
          <w:snapToGrid w:val="0"/>
        </w:rPr>
        <w:t xml:space="preserve"> included in an employer's payroll tax expense?</w:t>
      </w:r>
    </w:p>
    <w:p w:rsidR="003A18C1" w:rsidRDefault="003A18C1" w:rsidP="003A18C1">
      <w:pPr>
        <w:tabs>
          <w:tab w:val="decimal" w:pos="360"/>
          <w:tab w:val="left" w:pos="720"/>
          <w:tab w:val="left" w:pos="1080"/>
        </w:tabs>
        <w:spacing w:line="237" w:lineRule="atLeast"/>
        <w:ind w:left="720" w:hanging="720"/>
        <w:jc w:val="both"/>
        <w:rPr>
          <w:snapToGrid w:val="0"/>
        </w:rPr>
      </w:pPr>
      <w:r>
        <w:rPr>
          <w:snapToGrid w:val="0"/>
        </w:rPr>
        <w:tab/>
      </w:r>
      <w:r>
        <w:rPr>
          <w:snapToGrid w:val="0"/>
        </w:rPr>
        <w:tab/>
        <w:t>a.</w:t>
      </w:r>
      <w:r>
        <w:rPr>
          <w:snapToGrid w:val="0"/>
        </w:rPr>
        <w:tab/>
        <w:t>F.I.C.A. (social security) taxes</w:t>
      </w:r>
    </w:p>
    <w:p w:rsidR="003A18C1" w:rsidRDefault="003A18C1" w:rsidP="003A18C1">
      <w:pPr>
        <w:tabs>
          <w:tab w:val="decimal" w:pos="360"/>
          <w:tab w:val="left" w:pos="720"/>
          <w:tab w:val="left" w:pos="1080"/>
        </w:tabs>
        <w:spacing w:line="237" w:lineRule="atLeast"/>
        <w:ind w:left="720" w:hanging="720"/>
        <w:jc w:val="both"/>
        <w:rPr>
          <w:snapToGrid w:val="0"/>
        </w:rPr>
      </w:pPr>
      <w:r>
        <w:rPr>
          <w:snapToGrid w:val="0"/>
        </w:rPr>
        <w:tab/>
      </w:r>
      <w:r>
        <w:rPr>
          <w:snapToGrid w:val="0"/>
        </w:rPr>
        <w:tab/>
        <w:t>b.</w:t>
      </w:r>
      <w:r>
        <w:rPr>
          <w:snapToGrid w:val="0"/>
        </w:rPr>
        <w:tab/>
        <w:t>Federal unemployment taxes</w:t>
      </w:r>
    </w:p>
    <w:p w:rsidR="003A18C1" w:rsidRDefault="003A18C1" w:rsidP="003A18C1">
      <w:pPr>
        <w:tabs>
          <w:tab w:val="decimal" w:pos="360"/>
          <w:tab w:val="left" w:pos="720"/>
          <w:tab w:val="left" w:pos="1080"/>
        </w:tabs>
        <w:spacing w:line="237" w:lineRule="atLeast"/>
        <w:ind w:left="720" w:hanging="720"/>
        <w:jc w:val="both"/>
        <w:rPr>
          <w:snapToGrid w:val="0"/>
        </w:rPr>
      </w:pPr>
      <w:r>
        <w:rPr>
          <w:snapToGrid w:val="0"/>
        </w:rPr>
        <w:tab/>
      </w:r>
      <w:r>
        <w:rPr>
          <w:snapToGrid w:val="0"/>
        </w:rPr>
        <w:tab/>
        <w:t>c.</w:t>
      </w:r>
      <w:r>
        <w:rPr>
          <w:snapToGrid w:val="0"/>
        </w:rPr>
        <w:tab/>
        <w:t>State unemployment taxes</w:t>
      </w:r>
    </w:p>
    <w:p w:rsidR="003A18C1" w:rsidRDefault="003A18C1" w:rsidP="003A18C1">
      <w:pPr>
        <w:tabs>
          <w:tab w:val="decimal" w:pos="360"/>
          <w:tab w:val="left" w:pos="720"/>
          <w:tab w:val="left" w:pos="1080"/>
        </w:tabs>
        <w:spacing w:line="237" w:lineRule="atLeast"/>
        <w:ind w:left="720" w:hanging="720"/>
        <w:jc w:val="both"/>
        <w:rPr>
          <w:snapToGrid w:val="0"/>
        </w:rPr>
      </w:pPr>
      <w:r>
        <w:rPr>
          <w:snapToGrid w:val="0"/>
        </w:rPr>
        <w:tab/>
      </w:r>
      <w:r>
        <w:rPr>
          <w:snapToGrid w:val="0"/>
        </w:rPr>
        <w:tab/>
      </w:r>
      <w:r w:rsidRPr="00EA33BF">
        <w:rPr>
          <w:snapToGrid w:val="0"/>
        </w:rPr>
        <w:t>d.</w:t>
      </w:r>
      <w:r w:rsidRPr="00EA33BF">
        <w:rPr>
          <w:snapToGrid w:val="0"/>
        </w:rPr>
        <w:tab/>
        <w:t>Federal income taxes</w:t>
      </w:r>
    </w:p>
    <w:p w:rsidR="003A18C1" w:rsidRPr="00735512" w:rsidRDefault="003A18C1" w:rsidP="003A18C1">
      <w:pPr>
        <w:tabs>
          <w:tab w:val="decimal" w:pos="360"/>
          <w:tab w:val="left" w:pos="720"/>
          <w:tab w:val="left" w:pos="1080"/>
        </w:tabs>
        <w:spacing w:line="237" w:lineRule="atLeast"/>
        <w:ind w:left="720" w:hanging="720"/>
        <w:jc w:val="both"/>
        <w:rPr>
          <w:snapToGrid w:val="0"/>
          <w:sz w:val="18"/>
          <w:szCs w:val="18"/>
        </w:rPr>
      </w:pPr>
    </w:p>
    <w:p w:rsidR="003A18C1" w:rsidRDefault="003A18C1" w:rsidP="003A18C1">
      <w:pPr>
        <w:tabs>
          <w:tab w:val="decimal" w:pos="360"/>
          <w:tab w:val="left" w:pos="720"/>
          <w:tab w:val="left" w:pos="1080"/>
        </w:tabs>
        <w:ind w:left="720" w:hanging="720"/>
        <w:jc w:val="both"/>
        <w:rPr>
          <w:snapToGrid w:val="0"/>
        </w:rPr>
      </w:pPr>
      <w:r>
        <w:rPr>
          <w:snapToGrid w:val="0"/>
        </w:rPr>
        <w:t>10.</w:t>
      </w:r>
      <w:r>
        <w:rPr>
          <w:snapToGrid w:val="0"/>
        </w:rPr>
        <w:tab/>
      </w:r>
      <w:r>
        <w:rPr>
          <w:snapToGrid w:val="0"/>
        </w:rPr>
        <w:tab/>
      </w:r>
      <w:r>
        <w:rPr>
          <w:snapToGrid w:val="0"/>
          <w:spacing w:val="-2"/>
        </w:rPr>
        <w:t>Information available prior to the issuance of the financial statements indicates that it is probable that, at the date of the financial statements, a liability has been incurred for obligations related to product warranties. The amount of the loss involved can be reasonably estimated.  Based on the above facts, an estimated loss contingency should be</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r>
      <w:r w:rsidRPr="00EA33BF">
        <w:rPr>
          <w:snapToGrid w:val="0"/>
        </w:rPr>
        <w:t>a.</w:t>
      </w:r>
      <w:r w:rsidRPr="00EA33BF">
        <w:rPr>
          <w:snapToGrid w:val="0"/>
        </w:rPr>
        <w:tab/>
      </w:r>
      <w:proofErr w:type="gramStart"/>
      <w:r w:rsidRPr="00EA33BF">
        <w:rPr>
          <w:snapToGrid w:val="0"/>
        </w:rPr>
        <w:t>accrued</w:t>
      </w:r>
      <w:proofErr w:type="gramEnd"/>
      <w:r w:rsidRPr="00EA33BF">
        <w:rPr>
          <w:snapToGrid w:val="0"/>
        </w:rPr>
        <w:t>.</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b.</w:t>
      </w:r>
      <w:r>
        <w:rPr>
          <w:snapToGrid w:val="0"/>
        </w:rPr>
        <w:tab/>
      </w:r>
      <w:proofErr w:type="gramStart"/>
      <w:r>
        <w:rPr>
          <w:snapToGrid w:val="0"/>
        </w:rPr>
        <w:t>disclosed</w:t>
      </w:r>
      <w:proofErr w:type="gramEnd"/>
      <w:r>
        <w:rPr>
          <w:snapToGrid w:val="0"/>
        </w:rPr>
        <w:t xml:space="preserve"> but </w:t>
      </w:r>
      <w:r>
        <w:rPr>
          <w:i/>
          <w:snapToGrid w:val="0"/>
        </w:rPr>
        <w:t>not</w:t>
      </w:r>
      <w:r>
        <w:rPr>
          <w:snapToGrid w:val="0"/>
        </w:rPr>
        <w:t xml:space="preserve"> accrued.</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c.</w:t>
      </w:r>
      <w:r>
        <w:rPr>
          <w:snapToGrid w:val="0"/>
        </w:rPr>
        <w:tab/>
      </w:r>
      <w:proofErr w:type="gramStart"/>
      <w:r>
        <w:rPr>
          <w:i/>
          <w:snapToGrid w:val="0"/>
        </w:rPr>
        <w:t>neither</w:t>
      </w:r>
      <w:proofErr w:type="gramEnd"/>
      <w:r>
        <w:rPr>
          <w:snapToGrid w:val="0"/>
        </w:rPr>
        <w:t xml:space="preserve"> accrued </w:t>
      </w:r>
      <w:r>
        <w:rPr>
          <w:i/>
          <w:snapToGrid w:val="0"/>
        </w:rPr>
        <w:t>nor</w:t>
      </w:r>
      <w:r>
        <w:rPr>
          <w:snapToGrid w:val="0"/>
        </w:rPr>
        <w:t xml:space="preserve"> disclosed.</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d.</w:t>
      </w:r>
      <w:r>
        <w:rPr>
          <w:snapToGrid w:val="0"/>
        </w:rPr>
        <w:tab/>
      </w:r>
      <w:proofErr w:type="gramStart"/>
      <w:r>
        <w:rPr>
          <w:snapToGrid w:val="0"/>
        </w:rPr>
        <w:t>classified</w:t>
      </w:r>
      <w:proofErr w:type="gramEnd"/>
      <w:r>
        <w:rPr>
          <w:snapToGrid w:val="0"/>
        </w:rPr>
        <w:t xml:space="preserve"> as an appropriation of retained earnings.</w:t>
      </w:r>
    </w:p>
    <w:p w:rsidR="003A18C1" w:rsidRDefault="003A18C1" w:rsidP="003A18C1">
      <w:pPr>
        <w:tabs>
          <w:tab w:val="decimal" w:pos="360"/>
          <w:tab w:val="left" w:pos="720"/>
          <w:tab w:val="left" w:pos="1080"/>
        </w:tabs>
        <w:ind w:left="720" w:hanging="720"/>
        <w:jc w:val="both"/>
        <w:rPr>
          <w:snapToGrid w:val="0"/>
        </w:rPr>
      </w:pPr>
    </w:p>
    <w:p w:rsidR="003A18C1" w:rsidRDefault="003A18C1" w:rsidP="003A18C1">
      <w:pPr>
        <w:tabs>
          <w:tab w:val="decimal" w:pos="360"/>
          <w:tab w:val="left" w:pos="720"/>
          <w:tab w:val="left" w:pos="1080"/>
        </w:tabs>
        <w:ind w:left="720" w:hanging="720"/>
        <w:jc w:val="both"/>
        <w:rPr>
          <w:snapToGrid w:val="0"/>
        </w:rPr>
      </w:pPr>
      <w:r>
        <w:rPr>
          <w:snapToGrid w:val="0"/>
        </w:rPr>
        <w:t xml:space="preserve">11.     </w:t>
      </w:r>
      <w:r w:rsidRPr="0091291F">
        <w:rPr>
          <w:snapToGrid w:val="0"/>
        </w:rPr>
        <w:t>In March, 2011, an explosion occurred at Kirk Co.'s plant, causing damage to area properties. By May, 2011, no claims had yet been asserted against Kirk. However, Kirk's management and legal counsel concluded that it was reasonably possible that Kirk would be held responsible for negligence, and that $4,000,000 would be a reasonable estimate of the damages. Kirk's $5,000,000 comprehensive public liability policy contains a $400,000 deductible clause. In Kirk's December 31, 2010 financial statements, for which the auditor's fieldwork was completed in April, 2011, how should this casualty be reported?</w:t>
      </w:r>
    </w:p>
    <w:p w:rsidR="003A18C1" w:rsidRDefault="003A18C1" w:rsidP="003A18C1">
      <w:pPr>
        <w:tabs>
          <w:tab w:val="decimal" w:pos="360"/>
          <w:tab w:val="left" w:pos="720"/>
          <w:tab w:val="left" w:pos="1080"/>
        </w:tabs>
        <w:ind w:left="720" w:hanging="720"/>
        <w:jc w:val="both"/>
        <w:rPr>
          <w:snapToGrid w:val="0"/>
        </w:rPr>
      </w:pPr>
    </w:p>
    <w:p w:rsidR="003A18C1" w:rsidRDefault="003A18C1" w:rsidP="003A18C1">
      <w:pPr>
        <w:tabs>
          <w:tab w:val="decimal" w:pos="360"/>
          <w:tab w:val="left" w:pos="720"/>
          <w:tab w:val="left" w:pos="1080"/>
        </w:tabs>
        <w:ind w:left="720" w:hanging="720"/>
        <w:jc w:val="both"/>
        <w:rPr>
          <w:snapToGrid w:val="0"/>
        </w:rPr>
      </w:pPr>
    </w:p>
    <w:p w:rsidR="003A18C1" w:rsidRDefault="003A18C1" w:rsidP="003A18C1">
      <w:pPr>
        <w:tabs>
          <w:tab w:val="decimal" w:pos="360"/>
          <w:tab w:val="left" w:pos="720"/>
          <w:tab w:val="left" w:pos="1080"/>
        </w:tabs>
        <w:ind w:left="720" w:hanging="720"/>
        <w:jc w:val="both"/>
        <w:rPr>
          <w:snapToGrid w:val="0"/>
        </w:rPr>
      </w:pPr>
    </w:p>
    <w:p w:rsidR="003A18C1" w:rsidRDefault="003A18C1" w:rsidP="003A18C1">
      <w:pPr>
        <w:tabs>
          <w:tab w:val="decimal" w:pos="360"/>
          <w:tab w:val="left" w:pos="720"/>
          <w:tab w:val="left" w:pos="1080"/>
        </w:tabs>
        <w:ind w:left="720" w:hanging="720"/>
        <w:jc w:val="both"/>
        <w:rPr>
          <w:snapToGrid w:val="0"/>
        </w:rPr>
      </w:pPr>
      <w:r>
        <w:rPr>
          <w:snapToGrid w:val="0"/>
        </w:rPr>
        <w:br/>
        <w:t xml:space="preserve">a.  </w:t>
      </w:r>
      <w:proofErr w:type="gramStart"/>
      <w:r w:rsidRPr="0091291F">
        <w:rPr>
          <w:snapToGrid w:val="0"/>
        </w:rPr>
        <w:t>As</w:t>
      </w:r>
      <w:proofErr w:type="gramEnd"/>
      <w:r w:rsidRPr="0091291F">
        <w:rPr>
          <w:snapToGrid w:val="0"/>
        </w:rPr>
        <w:t xml:space="preserve"> a note disclosing a possible liability of $4,000,000</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 xml:space="preserve">b. </w:t>
      </w:r>
      <w:proofErr w:type="gramStart"/>
      <w:r w:rsidRPr="0091291F">
        <w:rPr>
          <w:snapToGrid w:val="0"/>
        </w:rPr>
        <w:t>As</w:t>
      </w:r>
      <w:proofErr w:type="gramEnd"/>
      <w:r w:rsidRPr="0091291F">
        <w:rPr>
          <w:snapToGrid w:val="0"/>
        </w:rPr>
        <w:t xml:space="preserve"> an accrued liability of $400,000</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 xml:space="preserve">c.  </w:t>
      </w:r>
      <w:proofErr w:type="gramStart"/>
      <w:r w:rsidRPr="0091291F">
        <w:rPr>
          <w:snapToGrid w:val="0"/>
        </w:rPr>
        <w:t>As</w:t>
      </w:r>
      <w:proofErr w:type="gramEnd"/>
      <w:r w:rsidRPr="0091291F">
        <w:rPr>
          <w:snapToGrid w:val="0"/>
        </w:rPr>
        <w:t xml:space="preserve"> a note disclosing a possible liability of $400,000</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 xml:space="preserve">d.  </w:t>
      </w:r>
      <w:r w:rsidRPr="0091291F">
        <w:rPr>
          <w:snapToGrid w:val="0"/>
        </w:rPr>
        <w:t>No note disclosure of accrual is required for 2010 because the event occurred in 2011</w:t>
      </w:r>
    </w:p>
    <w:p w:rsidR="003A18C1" w:rsidRDefault="003A18C1" w:rsidP="003A18C1">
      <w:pPr>
        <w:tabs>
          <w:tab w:val="decimal" w:pos="360"/>
          <w:tab w:val="left" w:pos="720"/>
          <w:tab w:val="left" w:pos="1080"/>
        </w:tabs>
        <w:ind w:left="720" w:hanging="720"/>
        <w:jc w:val="both"/>
        <w:rPr>
          <w:snapToGrid w:val="0"/>
        </w:rPr>
      </w:pPr>
    </w:p>
    <w:p w:rsidR="003A18C1" w:rsidRDefault="003A18C1" w:rsidP="003A18C1">
      <w:pPr>
        <w:tabs>
          <w:tab w:val="decimal" w:pos="360"/>
          <w:tab w:val="left" w:pos="720"/>
          <w:tab w:val="left" w:pos="1080"/>
        </w:tabs>
        <w:ind w:left="720" w:hanging="720"/>
        <w:jc w:val="both"/>
        <w:rPr>
          <w:snapToGrid w:val="0"/>
        </w:rPr>
      </w:pPr>
      <w:r>
        <w:rPr>
          <w:snapToGrid w:val="0"/>
        </w:rPr>
        <w:t xml:space="preserve">12.     </w:t>
      </w:r>
      <w:r w:rsidRPr="0091291F">
        <w:rPr>
          <w:snapToGrid w:val="0"/>
        </w:rPr>
        <w:t>On September 1, 2010, Herman Co. issued a note payable to National Bank in the amount of $1,200,000, bearing interest at 12%, and payable in three equal annual principal payments of $400,000. On this date, the bank's prime rate was 11%. The first payment for interest and principal was made on September 1, 2011. On December 31, 2011, Herman should record accrued interest payable of</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a. $ 48,000</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b. $ 44,000</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c. $ 32,000</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d. $ 29,334</w:t>
      </w:r>
    </w:p>
    <w:p w:rsidR="003A18C1" w:rsidRDefault="003A18C1" w:rsidP="003A18C1">
      <w:pPr>
        <w:tabs>
          <w:tab w:val="decimal" w:pos="360"/>
          <w:tab w:val="left" w:pos="720"/>
          <w:tab w:val="left" w:pos="1080"/>
        </w:tabs>
        <w:ind w:left="720" w:hanging="720"/>
        <w:jc w:val="both"/>
        <w:rPr>
          <w:snapToGrid w:val="0"/>
        </w:rPr>
      </w:pPr>
    </w:p>
    <w:p w:rsidR="003A18C1" w:rsidRDefault="003A18C1" w:rsidP="003A18C1">
      <w:pPr>
        <w:tabs>
          <w:tab w:val="decimal" w:pos="360"/>
          <w:tab w:val="left" w:pos="720"/>
          <w:tab w:val="left" w:pos="1080"/>
        </w:tabs>
        <w:ind w:left="720" w:hanging="720"/>
        <w:jc w:val="both"/>
        <w:rPr>
          <w:snapToGrid w:val="0"/>
        </w:rPr>
      </w:pPr>
      <w:r>
        <w:rPr>
          <w:snapToGrid w:val="0"/>
        </w:rPr>
        <w:t xml:space="preserve">13.      </w:t>
      </w:r>
      <w:r w:rsidRPr="0091291F">
        <w:rPr>
          <w:snapToGrid w:val="0"/>
        </w:rPr>
        <w:t xml:space="preserve">On January 1, 2010, Meyer Co. leased a building to </w:t>
      </w:r>
      <w:proofErr w:type="spellStart"/>
      <w:r w:rsidRPr="0091291F">
        <w:rPr>
          <w:snapToGrid w:val="0"/>
        </w:rPr>
        <w:t>Heins</w:t>
      </w:r>
      <w:proofErr w:type="spellEnd"/>
      <w:r w:rsidRPr="0091291F">
        <w:rPr>
          <w:snapToGrid w:val="0"/>
        </w:rPr>
        <w:t xml:space="preserve"> Corp. for a 10-year term at an annual rental of $80,000. At inception of the lease, Meyer received $320,000 covering the first 2 years' rent of $160,000 and a security deposit of $160,000. This deposit will not be returned to </w:t>
      </w:r>
      <w:proofErr w:type="spellStart"/>
      <w:r w:rsidRPr="0091291F">
        <w:rPr>
          <w:snapToGrid w:val="0"/>
        </w:rPr>
        <w:t>Heins</w:t>
      </w:r>
      <w:proofErr w:type="spellEnd"/>
      <w:r w:rsidRPr="0091291F">
        <w:rPr>
          <w:snapToGrid w:val="0"/>
        </w:rPr>
        <w:t xml:space="preserve"> upon expiration of the lease but will be applied to payment of rent for the last 2 years of the lease. What portion of the $320,000 should be shown as a current and long-term liability, respectively, in Meyer's December 31, 2010 balance </w:t>
      </w:r>
      <w:proofErr w:type="spellStart"/>
      <w:r w:rsidRPr="0091291F">
        <w:rPr>
          <w:snapToGrid w:val="0"/>
        </w:rPr>
        <w:t>sheet</w:t>
      </w:r>
      <w:proofErr w:type="gramStart"/>
      <w:r w:rsidRPr="0091291F">
        <w:rPr>
          <w:snapToGrid w:val="0"/>
        </w:rPr>
        <w:t>?Current</w:t>
      </w:r>
      <w:proofErr w:type="spellEnd"/>
      <w:proofErr w:type="gramEnd"/>
      <w:r w:rsidRPr="0091291F">
        <w:rPr>
          <w:snapToGrid w:val="0"/>
        </w:rPr>
        <w:t xml:space="preserve"> Liability ; Long-term Liability</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 xml:space="preserve">a.  </w:t>
      </w:r>
      <w:r w:rsidRPr="0091291F">
        <w:rPr>
          <w:snapToGrid w:val="0"/>
        </w:rPr>
        <w:t>$</w:t>
      </w:r>
      <w:proofErr w:type="gramStart"/>
      <w:r w:rsidRPr="0091291F">
        <w:rPr>
          <w:snapToGrid w:val="0"/>
        </w:rPr>
        <w:t>0 ;</w:t>
      </w:r>
      <w:proofErr w:type="gramEnd"/>
      <w:r w:rsidRPr="0091291F">
        <w:rPr>
          <w:snapToGrid w:val="0"/>
        </w:rPr>
        <w:t xml:space="preserve"> $320,000</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 xml:space="preserve">b.  </w:t>
      </w:r>
      <w:r w:rsidRPr="0091291F">
        <w:rPr>
          <w:snapToGrid w:val="0"/>
        </w:rPr>
        <w:t>$</w:t>
      </w:r>
      <w:proofErr w:type="gramStart"/>
      <w:r w:rsidRPr="0091291F">
        <w:rPr>
          <w:snapToGrid w:val="0"/>
        </w:rPr>
        <w:t>80,000 ;</w:t>
      </w:r>
      <w:proofErr w:type="gramEnd"/>
      <w:r w:rsidRPr="0091291F">
        <w:rPr>
          <w:snapToGrid w:val="0"/>
        </w:rPr>
        <w:t xml:space="preserve"> $160,000</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 xml:space="preserve">c.  </w:t>
      </w:r>
      <w:r w:rsidRPr="0091291F">
        <w:rPr>
          <w:snapToGrid w:val="0"/>
        </w:rPr>
        <w:t>$</w:t>
      </w:r>
      <w:proofErr w:type="gramStart"/>
      <w:r w:rsidRPr="0091291F">
        <w:rPr>
          <w:snapToGrid w:val="0"/>
        </w:rPr>
        <w:t>160,000 ;</w:t>
      </w:r>
      <w:proofErr w:type="gramEnd"/>
      <w:r w:rsidRPr="0091291F">
        <w:rPr>
          <w:snapToGrid w:val="0"/>
        </w:rPr>
        <w:t xml:space="preserve"> $160,000</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 xml:space="preserve">d.  </w:t>
      </w:r>
      <w:r w:rsidRPr="0091291F">
        <w:rPr>
          <w:snapToGrid w:val="0"/>
        </w:rPr>
        <w:t>$</w:t>
      </w:r>
      <w:proofErr w:type="gramStart"/>
      <w:r w:rsidRPr="0091291F">
        <w:rPr>
          <w:snapToGrid w:val="0"/>
        </w:rPr>
        <w:t>160,000 ;</w:t>
      </w:r>
      <w:proofErr w:type="gramEnd"/>
      <w:r w:rsidRPr="0091291F">
        <w:rPr>
          <w:snapToGrid w:val="0"/>
        </w:rPr>
        <w:t xml:space="preserve"> $80,000</w:t>
      </w:r>
    </w:p>
    <w:p w:rsidR="003A18C1" w:rsidRDefault="003A18C1" w:rsidP="003A18C1">
      <w:pPr>
        <w:tabs>
          <w:tab w:val="decimal" w:pos="360"/>
          <w:tab w:val="left" w:pos="720"/>
          <w:tab w:val="left" w:pos="1080"/>
        </w:tabs>
        <w:ind w:left="720" w:hanging="720"/>
        <w:jc w:val="both"/>
        <w:rPr>
          <w:snapToGrid w:val="0"/>
        </w:rPr>
      </w:pPr>
    </w:p>
    <w:p w:rsidR="003A18C1" w:rsidRDefault="003A18C1" w:rsidP="003A18C1">
      <w:pPr>
        <w:tabs>
          <w:tab w:val="decimal" w:pos="360"/>
          <w:tab w:val="left" w:pos="720"/>
          <w:tab w:val="left" w:pos="1080"/>
        </w:tabs>
        <w:ind w:left="720" w:hanging="720"/>
        <w:jc w:val="both"/>
        <w:rPr>
          <w:snapToGrid w:val="0"/>
        </w:rPr>
      </w:pPr>
      <w:r>
        <w:rPr>
          <w:snapToGrid w:val="0"/>
        </w:rPr>
        <w:t xml:space="preserve">14.      </w:t>
      </w:r>
      <w:r w:rsidRPr="0091291F">
        <w:rPr>
          <w:snapToGrid w:val="0"/>
        </w:rPr>
        <w:t>A company gives each of its 50 employees (assume they were all employed continuously through 2010 and 2011) 12 days of vacation a year if they are employed at the end of the year. The vacation accumulates and may be taken starting January 1 of the next year. The employees work 8 hours per day. In 2010, they made $17.50 per hour and in 2011 they made $20 per hour. During 2011, they took an average of 9 days of vacation each. The company’s policy is to record the liability existing at the end of each year at the wage rate for that year. What amount of vacation liability would be reflected on the 2010 and 2011 balance sheets, respectively?</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 xml:space="preserve">a.  </w:t>
      </w:r>
      <w:r w:rsidRPr="0091291F">
        <w:rPr>
          <w:snapToGrid w:val="0"/>
        </w:rPr>
        <w:t>$84,000; $117,000</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 xml:space="preserve">b.  </w:t>
      </w:r>
      <w:r w:rsidRPr="0091291F">
        <w:rPr>
          <w:snapToGrid w:val="0"/>
        </w:rPr>
        <w:t>$96,000; $120,000</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 xml:space="preserve">c.  </w:t>
      </w:r>
      <w:r w:rsidRPr="0091291F">
        <w:rPr>
          <w:snapToGrid w:val="0"/>
        </w:rPr>
        <w:t>$84,000; $120,000</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 xml:space="preserve">d.  </w:t>
      </w:r>
      <w:r w:rsidRPr="0091291F">
        <w:rPr>
          <w:snapToGrid w:val="0"/>
        </w:rPr>
        <w:t>$96,000; $117,000</w:t>
      </w:r>
    </w:p>
    <w:p w:rsidR="003A18C1" w:rsidRDefault="003A18C1" w:rsidP="003A18C1">
      <w:pPr>
        <w:tabs>
          <w:tab w:val="decimal" w:pos="360"/>
          <w:tab w:val="left" w:pos="720"/>
          <w:tab w:val="left" w:pos="1080"/>
        </w:tabs>
        <w:ind w:left="720" w:hanging="720"/>
        <w:jc w:val="both"/>
        <w:rPr>
          <w:snapToGrid w:val="0"/>
        </w:rPr>
      </w:pPr>
    </w:p>
    <w:p w:rsidR="003A18C1" w:rsidRDefault="003A18C1" w:rsidP="003A18C1">
      <w:pPr>
        <w:tabs>
          <w:tab w:val="decimal" w:pos="360"/>
          <w:tab w:val="left" w:pos="720"/>
          <w:tab w:val="left" w:pos="1080"/>
        </w:tabs>
        <w:ind w:left="720" w:hanging="720"/>
        <w:jc w:val="both"/>
        <w:rPr>
          <w:snapToGrid w:val="0"/>
        </w:rPr>
      </w:pPr>
      <w:r>
        <w:rPr>
          <w:snapToGrid w:val="0"/>
        </w:rPr>
        <w:t xml:space="preserve">15.      </w:t>
      </w:r>
      <w:r w:rsidRPr="00827CEB">
        <w:rPr>
          <w:snapToGrid w:val="0"/>
        </w:rPr>
        <w:t>Which of the following is a characteristic of the expense warranty approach, but not the sales warranty approach?</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 xml:space="preserve">a.  </w:t>
      </w:r>
      <w:r w:rsidRPr="00827CEB">
        <w:rPr>
          <w:snapToGrid w:val="0"/>
        </w:rPr>
        <w:t>Estimated liability under warranties</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b.  Warranty Expense</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 xml:space="preserve">c.  </w:t>
      </w:r>
      <w:r w:rsidRPr="00827CEB">
        <w:rPr>
          <w:snapToGrid w:val="0"/>
        </w:rPr>
        <w:t>Unearned warranty revenue</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d.  Warranty Revenue</w:t>
      </w:r>
    </w:p>
    <w:p w:rsidR="003A18C1" w:rsidRDefault="003A18C1" w:rsidP="003A18C1">
      <w:pPr>
        <w:tabs>
          <w:tab w:val="decimal" w:pos="360"/>
          <w:tab w:val="left" w:pos="720"/>
          <w:tab w:val="left" w:pos="1080"/>
        </w:tabs>
        <w:ind w:left="720" w:hanging="720"/>
        <w:jc w:val="both"/>
        <w:rPr>
          <w:snapToGrid w:val="0"/>
        </w:rPr>
      </w:pPr>
    </w:p>
    <w:p w:rsidR="003A18C1" w:rsidRDefault="003A18C1" w:rsidP="003A18C1">
      <w:pPr>
        <w:tabs>
          <w:tab w:val="decimal" w:pos="360"/>
          <w:tab w:val="left" w:pos="720"/>
          <w:tab w:val="left" w:pos="1080"/>
        </w:tabs>
        <w:ind w:left="720" w:hanging="720"/>
        <w:jc w:val="both"/>
        <w:rPr>
          <w:snapToGrid w:val="0"/>
        </w:rPr>
      </w:pPr>
    </w:p>
    <w:p w:rsidR="003A18C1" w:rsidRDefault="003A18C1" w:rsidP="003A18C1">
      <w:pPr>
        <w:tabs>
          <w:tab w:val="decimal" w:pos="360"/>
          <w:tab w:val="left" w:pos="720"/>
          <w:tab w:val="left" w:pos="1080"/>
        </w:tabs>
        <w:ind w:left="720" w:hanging="720"/>
        <w:jc w:val="both"/>
        <w:rPr>
          <w:snapToGrid w:val="0"/>
        </w:rPr>
      </w:pPr>
    </w:p>
    <w:p w:rsidR="003A18C1" w:rsidRDefault="003A18C1" w:rsidP="003A18C1">
      <w:pPr>
        <w:tabs>
          <w:tab w:val="decimal" w:pos="360"/>
          <w:tab w:val="left" w:pos="720"/>
          <w:tab w:val="left" w:pos="1080"/>
        </w:tabs>
        <w:ind w:left="720" w:hanging="720"/>
        <w:jc w:val="both"/>
        <w:rPr>
          <w:snapToGrid w:val="0"/>
        </w:rPr>
      </w:pPr>
      <w:r>
        <w:rPr>
          <w:snapToGrid w:val="0"/>
        </w:rPr>
        <w:t xml:space="preserve">16.     </w:t>
      </w:r>
      <w:r w:rsidRPr="00827CEB">
        <w:rPr>
          <w:snapToGrid w:val="0"/>
        </w:rPr>
        <w:t>On July 1, 2010, Smith Co. issued 1,000 of its 10%, $1,000 bonds at 99 plus accrued interest. The bonds are dated April 1, 2010 and mature on April 1, 2020. Interest is payable semiannually on April 1 and October 1. What amount did Smith receive from the bond issuance?</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a.  1,015,000</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b.  1,000,000</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c.     990,000</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d.     965,000</w:t>
      </w:r>
    </w:p>
    <w:p w:rsidR="003A18C1" w:rsidRDefault="003A18C1" w:rsidP="003A18C1">
      <w:pPr>
        <w:tabs>
          <w:tab w:val="decimal" w:pos="360"/>
          <w:tab w:val="left" w:pos="720"/>
          <w:tab w:val="left" w:pos="1080"/>
        </w:tabs>
        <w:ind w:left="720" w:hanging="720"/>
        <w:jc w:val="both"/>
        <w:rPr>
          <w:snapToGrid w:val="0"/>
        </w:rPr>
      </w:pPr>
    </w:p>
    <w:p w:rsidR="003A18C1" w:rsidRDefault="003A18C1" w:rsidP="003A18C1">
      <w:pPr>
        <w:tabs>
          <w:tab w:val="decimal" w:pos="360"/>
          <w:tab w:val="left" w:pos="720"/>
          <w:tab w:val="left" w:pos="1080"/>
        </w:tabs>
        <w:ind w:left="720" w:hanging="720"/>
        <w:jc w:val="both"/>
        <w:rPr>
          <w:snapToGrid w:val="0"/>
        </w:rPr>
      </w:pPr>
      <w:r>
        <w:rPr>
          <w:snapToGrid w:val="0"/>
        </w:rPr>
        <w:t xml:space="preserve">17.      </w:t>
      </w:r>
      <w:r w:rsidRPr="00827CEB">
        <w:rPr>
          <w:snapToGrid w:val="0"/>
        </w:rPr>
        <w:t>On June 30, 2011, Montana Co. had outstanding 8%, $3,000,000 face amount, 15-year bonds maturing on June 30, 2021. Interest is payable on June 30 and December 31. The unamortized balances in the bond discount and deferred bond issue costs accounts on June 30, 2011 were $105,000 and $30,000, respectively. On June 30, 2011, Montana acquired all of these bonds at 94 and retired them. What net carrying amount should be used in computing gain or loss on this early extinguishment of debt?</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a.  2,970,000</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b.  2,895,000</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c.  2,865,000</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d.  2,820,000</w:t>
      </w:r>
    </w:p>
    <w:p w:rsidR="003A18C1" w:rsidRDefault="003A18C1" w:rsidP="003A18C1">
      <w:pPr>
        <w:tabs>
          <w:tab w:val="decimal" w:pos="360"/>
          <w:tab w:val="left" w:pos="720"/>
          <w:tab w:val="left" w:pos="1080"/>
        </w:tabs>
        <w:ind w:left="720" w:hanging="720"/>
        <w:jc w:val="both"/>
        <w:rPr>
          <w:snapToGrid w:val="0"/>
        </w:rPr>
      </w:pPr>
    </w:p>
    <w:p w:rsidR="003A18C1" w:rsidRDefault="003A18C1" w:rsidP="003A18C1">
      <w:pPr>
        <w:tabs>
          <w:tab w:val="decimal" w:pos="360"/>
          <w:tab w:val="left" w:pos="720"/>
          <w:tab w:val="left" w:pos="1080"/>
        </w:tabs>
        <w:ind w:left="720" w:hanging="720"/>
        <w:jc w:val="both"/>
        <w:rPr>
          <w:snapToGrid w:val="0"/>
        </w:rPr>
      </w:pPr>
      <w:r>
        <w:rPr>
          <w:snapToGrid w:val="0"/>
        </w:rPr>
        <w:t xml:space="preserve">18.     </w:t>
      </w:r>
      <w:r w:rsidRPr="00827CEB">
        <w:rPr>
          <w:snapToGrid w:val="0"/>
        </w:rPr>
        <w:t>On January 2, 2010, a calendar-year corporation sold 8% bonds with a face value of $600,000. These bonds mature in 5 years, and interest is paid semiannually on June 30 and December 31. The bonds were sold for $553,600 to yield 10%. Using the effective-interest method of computing interest, how much should be charged to interest expense in 2010?</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a.  $48,000</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b.  $55,360</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c.  $55,544</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d.  $60,000</w:t>
      </w:r>
    </w:p>
    <w:p w:rsidR="003A18C1" w:rsidRDefault="003A18C1" w:rsidP="003A18C1">
      <w:pPr>
        <w:tabs>
          <w:tab w:val="decimal" w:pos="360"/>
          <w:tab w:val="left" w:pos="720"/>
          <w:tab w:val="left" w:pos="1080"/>
        </w:tabs>
        <w:ind w:left="720" w:hanging="720"/>
        <w:jc w:val="both"/>
        <w:rPr>
          <w:snapToGrid w:val="0"/>
        </w:rPr>
      </w:pPr>
    </w:p>
    <w:p w:rsidR="003A18C1" w:rsidRDefault="003A18C1" w:rsidP="003A18C1">
      <w:pPr>
        <w:tabs>
          <w:tab w:val="decimal" w:pos="360"/>
          <w:tab w:val="left" w:pos="720"/>
          <w:tab w:val="left" w:pos="1080"/>
        </w:tabs>
        <w:ind w:left="720" w:hanging="720"/>
        <w:jc w:val="both"/>
        <w:rPr>
          <w:snapToGrid w:val="0"/>
        </w:rPr>
      </w:pPr>
      <w:r>
        <w:rPr>
          <w:snapToGrid w:val="0"/>
        </w:rPr>
        <w:t xml:space="preserve">19.    </w:t>
      </w:r>
      <w:r w:rsidRPr="00827CEB">
        <w:rPr>
          <w:snapToGrid w:val="0"/>
        </w:rPr>
        <w:t>Cooke Co. took advantage of market conditions to refund debt. This was the fourth refunding operation carried out by Cooke within the last 3 years. The excess of the carrying amount of the old debt over the amount paid to extinguish it should be reported as a</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a.  Gain, net of income taxes</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b.  Loss, net of income taxes</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c.  Part of continuing operations</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d.  Deferred credit to be amortized over the life of the debt</w:t>
      </w:r>
    </w:p>
    <w:p w:rsidR="003A18C1" w:rsidRDefault="003A18C1" w:rsidP="003A18C1">
      <w:pPr>
        <w:tabs>
          <w:tab w:val="decimal" w:pos="360"/>
          <w:tab w:val="left" w:pos="720"/>
          <w:tab w:val="left" w:pos="1080"/>
        </w:tabs>
        <w:ind w:left="720" w:hanging="720"/>
        <w:jc w:val="both"/>
        <w:rPr>
          <w:snapToGrid w:val="0"/>
        </w:rPr>
      </w:pPr>
    </w:p>
    <w:p w:rsidR="003A18C1" w:rsidRDefault="003A18C1" w:rsidP="003A18C1">
      <w:pPr>
        <w:tabs>
          <w:tab w:val="decimal" w:pos="360"/>
          <w:tab w:val="left" w:pos="720"/>
          <w:tab w:val="left" w:pos="1080"/>
        </w:tabs>
        <w:ind w:left="720" w:hanging="720"/>
        <w:jc w:val="both"/>
        <w:rPr>
          <w:snapToGrid w:val="0"/>
        </w:rPr>
      </w:pPr>
      <w:r>
        <w:rPr>
          <w:snapToGrid w:val="0"/>
        </w:rPr>
        <w:t xml:space="preserve">20.     </w:t>
      </w:r>
      <w:r w:rsidRPr="00827CEB">
        <w:rPr>
          <w:snapToGrid w:val="0"/>
        </w:rPr>
        <w:t>On January 1, 2010, Solis Co. issued its 10% bonds in the face amount of $3,000,000, which mature on January 1, 2020. The bonds were issued for $3,405,000 to yield 8%, resulting in bond premium of $405,000. Solis uses the effective-interest method of amortizing bond premium. Interest is payable annually on December 31. At December 31, 2010, Solis's adjusted unamortized bond premium should be</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a.  $405,000</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b.  $377,400</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c.  $364,500</w:t>
      </w:r>
    </w:p>
    <w:p w:rsidR="003A18C1" w:rsidRDefault="003A18C1" w:rsidP="003A18C1">
      <w:pPr>
        <w:tabs>
          <w:tab w:val="decimal" w:pos="360"/>
          <w:tab w:val="left" w:pos="720"/>
          <w:tab w:val="left" w:pos="1080"/>
        </w:tabs>
        <w:ind w:left="720" w:hanging="720"/>
        <w:jc w:val="both"/>
        <w:rPr>
          <w:snapToGrid w:val="0"/>
        </w:rPr>
      </w:pPr>
      <w:r>
        <w:rPr>
          <w:snapToGrid w:val="0"/>
        </w:rPr>
        <w:tab/>
      </w:r>
      <w:r>
        <w:rPr>
          <w:snapToGrid w:val="0"/>
        </w:rPr>
        <w:tab/>
        <w:t>d.  $304,500</w:t>
      </w:r>
    </w:p>
    <w:p w:rsidR="003A18C1" w:rsidRDefault="003A18C1" w:rsidP="003A18C1">
      <w:pPr>
        <w:tabs>
          <w:tab w:val="decimal" w:pos="360"/>
          <w:tab w:val="left" w:pos="720"/>
          <w:tab w:val="left" w:pos="1080"/>
        </w:tabs>
        <w:ind w:left="720" w:hanging="720"/>
        <w:jc w:val="both"/>
        <w:rPr>
          <w:snapToGrid w:val="0"/>
        </w:rPr>
      </w:pPr>
    </w:p>
    <w:p w:rsidR="003A18C1" w:rsidRPr="00B2538F" w:rsidRDefault="003A18C1" w:rsidP="003A18C1">
      <w:pPr>
        <w:tabs>
          <w:tab w:val="decimal" w:pos="360"/>
          <w:tab w:val="left" w:pos="720"/>
          <w:tab w:val="left" w:pos="1080"/>
        </w:tabs>
        <w:ind w:left="720" w:hanging="720"/>
        <w:jc w:val="both"/>
        <w:rPr>
          <w:snapToGrid w:val="0"/>
        </w:rPr>
      </w:pPr>
    </w:p>
    <w:sectPr w:rsidR="003A18C1" w:rsidRPr="00B2538F" w:rsidSect="003A18C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6B90"/>
    <w:rsid w:val="003A18C1"/>
    <w:rsid w:val="00B906B3"/>
  </w:rsids>
  <m:mathPr>
    <m:mathFont m:val="Symbol"/>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8F"/>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7646</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ANSWER KEY</vt:lpstr>
    </vt:vector>
  </TitlesOfParts>
  <Company>Prosper</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KEY</dc:title>
  <dc:subject/>
  <dc:creator>Kelly Damron</dc:creator>
  <cp:keywords/>
  <cp:lastModifiedBy>Melissa Browning</cp:lastModifiedBy>
  <cp:revision>2</cp:revision>
  <dcterms:created xsi:type="dcterms:W3CDTF">2012-04-17T17:06:00Z</dcterms:created>
  <dcterms:modified xsi:type="dcterms:W3CDTF">2012-04-17T17:06:00Z</dcterms:modified>
</cp:coreProperties>
</file>