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15" w:rsidRPr="00205415" w:rsidRDefault="00205415">
      <w:pPr>
        <w:rPr>
          <w:rFonts w:asciiTheme="majorHAnsi" w:hAnsiTheme="majorHAnsi"/>
        </w:rPr>
      </w:pPr>
    </w:p>
    <w:p w:rsid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8"/>
        </w:rPr>
      </w:pPr>
      <w:r w:rsidRPr="00205415">
        <w:rPr>
          <w:rFonts w:asciiTheme="majorHAnsi" w:hAnsiTheme="majorHAnsi" w:cs="gM Ïˇø¨hÕ"/>
          <w:color w:val="000000"/>
          <w:szCs w:val="18"/>
        </w:rPr>
        <w:t>P16-8 (Computation of Basic and Diluted EPS) The information be</w:t>
      </w:r>
      <w:r>
        <w:rPr>
          <w:rFonts w:asciiTheme="majorHAnsi" w:hAnsiTheme="majorHAnsi" w:cs="gM Ïˇø¨hÕ"/>
          <w:color w:val="000000"/>
          <w:szCs w:val="18"/>
        </w:rPr>
        <w:t xml:space="preserve">low pertains to Barkley Company </w:t>
      </w:r>
      <w:r w:rsidRPr="00205415">
        <w:rPr>
          <w:rFonts w:asciiTheme="majorHAnsi" w:hAnsiTheme="majorHAnsi" w:cs="gM Ïˇø¨hÕ"/>
          <w:color w:val="000000"/>
          <w:szCs w:val="18"/>
        </w:rPr>
        <w:t>for 2010.</w:t>
      </w:r>
      <w:r>
        <w:rPr>
          <w:rFonts w:asciiTheme="majorHAnsi" w:hAnsiTheme="majorHAnsi" w:cs="gM Ïˇø¨hÕ"/>
          <w:color w:val="000000"/>
          <w:szCs w:val="18"/>
        </w:rPr>
        <w:t xml:space="preserve"> </w:t>
      </w:r>
    </w:p>
    <w:p w:rsid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8"/>
        </w:rPr>
      </w:pPr>
    </w:p>
    <w:p w:rsid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8"/>
        </w:rPr>
      </w:pPr>
      <w:r w:rsidRPr="00205415">
        <w:rPr>
          <w:rFonts w:asciiTheme="majorHAnsi" w:hAnsiTheme="majorHAnsi" w:cs="gM Ïˇø¨hÕ"/>
          <w:color w:val="000000"/>
          <w:szCs w:val="16"/>
        </w:rPr>
        <w:t xml:space="preserve">Net income for the year </w:t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 w:rsidRPr="00205415">
        <w:rPr>
          <w:rFonts w:asciiTheme="majorHAnsi" w:hAnsiTheme="majorHAnsi" w:cs="gM Ïˇø¨hÕ"/>
          <w:color w:val="000000"/>
          <w:szCs w:val="16"/>
        </w:rPr>
        <w:t>$1,200,000</w:t>
      </w:r>
      <w:r>
        <w:rPr>
          <w:rFonts w:asciiTheme="majorHAnsi" w:hAnsiTheme="majorHAnsi" w:cs="gM Ïˇø¨hÕ"/>
          <w:color w:val="000000"/>
          <w:szCs w:val="18"/>
        </w:rPr>
        <w:t xml:space="preserve"> </w:t>
      </w:r>
    </w:p>
    <w:p w:rsid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6"/>
        </w:rPr>
      </w:pPr>
      <w:r w:rsidRPr="00205415">
        <w:rPr>
          <w:rFonts w:asciiTheme="majorHAnsi" w:hAnsiTheme="majorHAnsi" w:cs="gM Ïˇø¨hÕ"/>
          <w:color w:val="000000"/>
          <w:szCs w:val="16"/>
        </w:rPr>
        <w:t>8% convertible bonds issued at par ($1,000 per bond). Each bond is convertible into</w:t>
      </w:r>
      <w:r>
        <w:rPr>
          <w:rFonts w:asciiTheme="majorHAnsi" w:hAnsiTheme="majorHAnsi" w:cs="gM Ïˇø¨hÕ"/>
          <w:color w:val="000000"/>
          <w:szCs w:val="18"/>
        </w:rPr>
        <w:t xml:space="preserve"> </w:t>
      </w:r>
      <w:r w:rsidRPr="00205415">
        <w:rPr>
          <w:rFonts w:asciiTheme="majorHAnsi" w:hAnsiTheme="majorHAnsi" w:cs="gM Ïˇø¨hÕ"/>
          <w:color w:val="000000"/>
          <w:szCs w:val="16"/>
        </w:rPr>
        <w:t xml:space="preserve">30 shares of common stock. </w:t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 w:rsidRPr="00205415">
        <w:rPr>
          <w:rFonts w:asciiTheme="majorHAnsi" w:hAnsiTheme="majorHAnsi" w:cs="gM Ïˇø¨hÕ"/>
          <w:color w:val="000000"/>
          <w:szCs w:val="16"/>
        </w:rPr>
        <w:t>2,000,000</w:t>
      </w:r>
    </w:p>
    <w:p w:rsid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6"/>
        </w:rPr>
      </w:pPr>
    </w:p>
    <w:p w:rsid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8"/>
        </w:rPr>
      </w:pPr>
      <w:r>
        <w:rPr>
          <w:rFonts w:asciiTheme="majorHAnsi" w:hAnsiTheme="majorHAnsi" w:cs="gM Ïˇø¨hÕ"/>
          <w:color w:val="000000"/>
          <w:szCs w:val="18"/>
        </w:rPr>
        <w:t xml:space="preserve"> </w:t>
      </w:r>
      <w:r w:rsidRPr="00205415">
        <w:rPr>
          <w:rFonts w:asciiTheme="majorHAnsi" w:hAnsiTheme="majorHAnsi" w:cs="gM Ïˇø¨hÕ"/>
          <w:color w:val="000000"/>
          <w:szCs w:val="16"/>
        </w:rPr>
        <w:t>6% convertible, cumulative preferred stock, $100 par v</w:t>
      </w:r>
      <w:r>
        <w:rPr>
          <w:rFonts w:asciiTheme="majorHAnsi" w:hAnsiTheme="majorHAnsi" w:cs="gM Ïˇø¨hÕ"/>
          <w:color w:val="000000"/>
          <w:szCs w:val="16"/>
        </w:rPr>
        <w:t xml:space="preserve">alue. Each share is convertible </w:t>
      </w:r>
      <w:r w:rsidRPr="00205415">
        <w:rPr>
          <w:rFonts w:asciiTheme="majorHAnsi" w:hAnsiTheme="majorHAnsi" w:cs="gM Ïˇø¨hÕ"/>
          <w:color w:val="000000"/>
          <w:szCs w:val="16"/>
        </w:rPr>
        <w:t xml:space="preserve">into 3 shares of common stock. </w:t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 w:rsidRPr="00205415">
        <w:rPr>
          <w:rFonts w:asciiTheme="majorHAnsi" w:hAnsiTheme="majorHAnsi" w:cs="gM Ïˇø¨hÕ"/>
          <w:color w:val="000000"/>
          <w:szCs w:val="16"/>
        </w:rPr>
        <w:t>4,000,000</w:t>
      </w:r>
      <w:r>
        <w:rPr>
          <w:rFonts w:asciiTheme="majorHAnsi" w:hAnsiTheme="majorHAnsi" w:cs="gM Ïˇø¨hÕ"/>
          <w:color w:val="000000"/>
          <w:szCs w:val="18"/>
        </w:rPr>
        <w:t xml:space="preserve"> </w:t>
      </w:r>
    </w:p>
    <w:p w:rsid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8"/>
        </w:rPr>
      </w:pP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8"/>
        </w:rPr>
      </w:pPr>
      <w:r w:rsidRPr="00205415">
        <w:rPr>
          <w:rFonts w:asciiTheme="majorHAnsi" w:hAnsiTheme="majorHAnsi" w:cs="gM Ïˇø¨hÕ"/>
          <w:color w:val="000000"/>
          <w:szCs w:val="16"/>
        </w:rPr>
        <w:t xml:space="preserve">Common stock, $10 par value </w:t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 w:rsidRPr="00205415">
        <w:rPr>
          <w:rFonts w:asciiTheme="majorHAnsi" w:hAnsiTheme="majorHAnsi" w:cs="gM Ïˇø¨hÕ"/>
          <w:color w:val="000000"/>
          <w:szCs w:val="16"/>
        </w:rPr>
        <w:t>6,000,000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6"/>
        </w:rPr>
      </w:pPr>
      <w:r w:rsidRPr="00205415">
        <w:rPr>
          <w:rFonts w:asciiTheme="majorHAnsi" w:hAnsiTheme="majorHAnsi" w:cs="gM Ïˇø¨hÕ"/>
          <w:color w:val="000000"/>
          <w:szCs w:val="16"/>
        </w:rPr>
        <w:t>Tax rate for 2010</w:t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 w:rsidRPr="00205415">
        <w:rPr>
          <w:rFonts w:asciiTheme="majorHAnsi" w:hAnsiTheme="majorHAnsi" w:cs="gM Ïˇø¨hÕ"/>
          <w:color w:val="000000"/>
          <w:szCs w:val="16"/>
        </w:rPr>
        <w:t xml:space="preserve"> 40%</w:t>
      </w:r>
    </w:p>
    <w:p w:rsid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6"/>
        </w:rPr>
      </w:pPr>
      <w:r w:rsidRPr="00205415">
        <w:rPr>
          <w:rFonts w:asciiTheme="majorHAnsi" w:hAnsiTheme="majorHAnsi" w:cs="gM Ïˇø¨hÕ"/>
          <w:color w:val="000000"/>
          <w:szCs w:val="16"/>
        </w:rPr>
        <w:t>Average market price of common stock</w:t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>
        <w:rPr>
          <w:rFonts w:asciiTheme="majorHAnsi" w:hAnsiTheme="majorHAnsi" w:cs="gM Ïˇø¨hÕ"/>
          <w:color w:val="000000"/>
          <w:szCs w:val="16"/>
        </w:rPr>
        <w:tab/>
      </w:r>
      <w:r w:rsidRPr="00205415">
        <w:rPr>
          <w:rFonts w:asciiTheme="majorHAnsi" w:hAnsiTheme="majorHAnsi" w:cs="gM Ïˇø¨hÕ"/>
          <w:color w:val="000000"/>
          <w:szCs w:val="16"/>
        </w:rPr>
        <w:t xml:space="preserve"> $25 per share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6"/>
        </w:rPr>
      </w:pPr>
    </w:p>
    <w:p w:rsid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8"/>
        </w:rPr>
      </w:pPr>
      <w:r w:rsidRPr="00205415">
        <w:rPr>
          <w:rFonts w:asciiTheme="majorHAnsi" w:hAnsiTheme="majorHAnsi" w:cs="gM Ïˇø¨hÕ"/>
          <w:color w:val="000000"/>
          <w:szCs w:val="18"/>
        </w:rPr>
        <w:t>There were no changes during 2010 in the number of common shares, p</w:t>
      </w:r>
      <w:r>
        <w:rPr>
          <w:rFonts w:asciiTheme="majorHAnsi" w:hAnsiTheme="majorHAnsi" w:cs="gM Ïˇø¨hÕ"/>
          <w:color w:val="000000"/>
          <w:szCs w:val="18"/>
        </w:rPr>
        <w:t xml:space="preserve">referred shares, or convertible </w:t>
      </w:r>
      <w:r w:rsidRPr="00205415">
        <w:rPr>
          <w:rFonts w:asciiTheme="majorHAnsi" w:hAnsiTheme="majorHAnsi" w:cs="gM Ïˇø¨hÕ"/>
          <w:color w:val="000000"/>
          <w:szCs w:val="18"/>
        </w:rPr>
        <w:t>bonds outstanding. There is no treasury stock. The company also has common stock options (granted in</w:t>
      </w:r>
      <w:r>
        <w:rPr>
          <w:rFonts w:asciiTheme="majorHAnsi" w:hAnsiTheme="majorHAnsi" w:cs="gM Ïˇø¨hÕ"/>
          <w:color w:val="000000"/>
          <w:szCs w:val="18"/>
        </w:rPr>
        <w:t xml:space="preserve"> </w:t>
      </w:r>
      <w:r w:rsidRPr="00205415">
        <w:rPr>
          <w:rFonts w:asciiTheme="majorHAnsi" w:hAnsiTheme="majorHAnsi" w:cs="gM Ïˇø¨hÕ"/>
          <w:color w:val="000000"/>
          <w:szCs w:val="18"/>
        </w:rPr>
        <w:t>a prior year) to purchase 75,000 shares of common stock at $20 per share.</w:t>
      </w:r>
    </w:p>
    <w:p w:rsid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8"/>
        </w:rPr>
      </w:pPr>
    </w:p>
    <w:p w:rsid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8"/>
        </w:rPr>
      </w:pPr>
    </w:p>
    <w:p w:rsid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8"/>
        </w:rPr>
      </w:pP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8"/>
        </w:rPr>
      </w:pP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9AA6"/>
          <w:szCs w:val="18"/>
        </w:rPr>
      </w:pPr>
      <w:r w:rsidRPr="00205415">
        <w:rPr>
          <w:rFonts w:asciiTheme="majorHAnsi" w:hAnsiTheme="majorHAnsi" w:cs="gM Ïˇø¨hÕ"/>
          <w:color w:val="009AA6"/>
          <w:szCs w:val="18"/>
        </w:rPr>
        <w:t>Instructions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gM Ïˇø¨hÕ"/>
          <w:color w:val="000000"/>
          <w:szCs w:val="18"/>
        </w:rPr>
      </w:pPr>
      <w:r w:rsidRPr="00205415">
        <w:rPr>
          <w:rFonts w:asciiTheme="majorHAnsi" w:hAnsiTheme="majorHAnsi" w:cs="gM Ïˇø¨hÕ"/>
          <w:color w:val="000000"/>
          <w:szCs w:val="18"/>
        </w:rPr>
        <w:t>(a) Compute basic earnings per share for 2010.</w:t>
      </w:r>
    </w:p>
    <w:p w:rsidR="00205415" w:rsidRDefault="00205415" w:rsidP="00205415">
      <w:pPr>
        <w:rPr>
          <w:rFonts w:asciiTheme="majorHAnsi" w:hAnsiTheme="majorHAnsi" w:cs="gM Ïˇø¨hÕ"/>
          <w:color w:val="000000"/>
          <w:szCs w:val="18"/>
        </w:rPr>
      </w:pPr>
      <w:r w:rsidRPr="00205415">
        <w:rPr>
          <w:rFonts w:asciiTheme="majorHAnsi" w:hAnsiTheme="majorHAnsi" w:cs="gM Ïˇø¨hÕ"/>
          <w:color w:val="000000"/>
          <w:szCs w:val="18"/>
        </w:rPr>
        <w:t>(b) Compute diluted earnings per share for 2010.</w:t>
      </w:r>
    </w:p>
    <w:p w:rsidR="00205415" w:rsidRDefault="00205415" w:rsidP="00205415">
      <w:pPr>
        <w:rPr>
          <w:rFonts w:asciiTheme="majorHAnsi" w:hAnsiTheme="majorHAnsi" w:cs="gM Ïˇø¨hÕ"/>
          <w:color w:val="000000"/>
          <w:szCs w:val="18"/>
        </w:rPr>
      </w:pPr>
    </w:p>
    <w:p w:rsidR="00205415" w:rsidRPr="00205415" w:rsidRDefault="00205415" w:rsidP="00205415">
      <w:pPr>
        <w:rPr>
          <w:rFonts w:asciiTheme="majorHAnsi" w:hAnsiTheme="majorHAnsi" w:cs="gM Ïˇø¨hÕ"/>
          <w:color w:val="000000"/>
          <w:szCs w:val="18"/>
        </w:rPr>
      </w:pPr>
    </w:p>
    <w:p w:rsidR="002971BC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8"/>
        </w:rPr>
      </w:pPr>
      <w:r w:rsidRPr="00205415">
        <w:rPr>
          <w:rFonts w:asciiTheme="majorHAnsi" w:hAnsiTheme="majorHAnsi" w:cs="sUÏˇø¨hÕ"/>
          <w:color w:val="000000"/>
          <w:szCs w:val="18"/>
        </w:rPr>
        <w:t>P23-6 (SCF—Indirect Method, and Net Cash Flow from Operating Activit</w:t>
      </w:r>
      <w:r w:rsidR="002971BC">
        <w:rPr>
          <w:rFonts w:asciiTheme="majorHAnsi" w:hAnsiTheme="majorHAnsi" w:cs="sUÏˇø¨hÕ"/>
          <w:color w:val="000000"/>
          <w:szCs w:val="18"/>
        </w:rPr>
        <w:t xml:space="preserve">ies, Direct Method) </w:t>
      </w:r>
    </w:p>
    <w:p w:rsidR="002971BC" w:rsidRDefault="002971BC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8"/>
        </w:rPr>
      </w:pPr>
    </w:p>
    <w:p w:rsidR="00205415" w:rsidRPr="00205415" w:rsidRDefault="002971BC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8"/>
        </w:rPr>
      </w:pPr>
      <w:r>
        <w:rPr>
          <w:rFonts w:asciiTheme="majorHAnsi" w:hAnsiTheme="majorHAnsi" w:cs="sUÏˇø¨hÕ"/>
          <w:color w:val="000000"/>
          <w:szCs w:val="18"/>
        </w:rPr>
        <w:t xml:space="preserve">Comparative </w:t>
      </w:r>
      <w:r w:rsidR="00205415" w:rsidRPr="00205415">
        <w:rPr>
          <w:rFonts w:asciiTheme="majorHAnsi" w:hAnsiTheme="majorHAnsi" w:cs="sUÏˇø¨hÕ"/>
          <w:color w:val="000000"/>
          <w:szCs w:val="18"/>
        </w:rPr>
        <w:t>balance sheet accounts of Marcus Inc. are presented below.</w:t>
      </w:r>
    </w:p>
    <w:p w:rsidR="00205415" w:rsidRPr="00205415" w:rsidRDefault="00205415" w:rsidP="002971B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>MARCUS INC.</w:t>
      </w:r>
    </w:p>
    <w:p w:rsidR="00205415" w:rsidRPr="00205415" w:rsidRDefault="00205415" w:rsidP="002971B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sUÏˇø¨hÕ"/>
          <w:color w:val="000000"/>
          <w:szCs w:val="14"/>
        </w:rPr>
      </w:pPr>
      <w:r w:rsidRPr="00205415">
        <w:rPr>
          <w:rFonts w:asciiTheme="majorHAnsi" w:hAnsiTheme="majorHAnsi" w:cs="sUÏˇø¨hÕ"/>
          <w:color w:val="000000"/>
          <w:szCs w:val="16"/>
        </w:rPr>
        <w:t>C</w:t>
      </w:r>
      <w:r w:rsidRPr="00205415">
        <w:rPr>
          <w:rFonts w:asciiTheme="majorHAnsi" w:hAnsiTheme="majorHAnsi" w:cs="sUÏˇø¨hÕ"/>
          <w:color w:val="000000"/>
          <w:szCs w:val="14"/>
        </w:rPr>
        <w:t xml:space="preserve">OMPARATIVE </w:t>
      </w:r>
      <w:r w:rsidRPr="00205415">
        <w:rPr>
          <w:rFonts w:asciiTheme="majorHAnsi" w:hAnsiTheme="majorHAnsi" w:cs="sUÏˇø¨hÕ"/>
          <w:color w:val="000000"/>
          <w:szCs w:val="16"/>
        </w:rPr>
        <w:t>B</w:t>
      </w:r>
      <w:r w:rsidRPr="00205415">
        <w:rPr>
          <w:rFonts w:asciiTheme="majorHAnsi" w:hAnsiTheme="majorHAnsi" w:cs="sUÏˇø¨hÕ"/>
          <w:color w:val="000000"/>
          <w:szCs w:val="14"/>
        </w:rPr>
        <w:t xml:space="preserve">ALANCE </w:t>
      </w:r>
      <w:r w:rsidRPr="00205415">
        <w:rPr>
          <w:rFonts w:asciiTheme="majorHAnsi" w:hAnsiTheme="majorHAnsi" w:cs="sUÏˇø¨hÕ"/>
          <w:color w:val="000000"/>
          <w:szCs w:val="16"/>
        </w:rPr>
        <w:t>S</w:t>
      </w:r>
      <w:r w:rsidRPr="00205415">
        <w:rPr>
          <w:rFonts w:asciiTheme="majorHAnsi" w:hAnsiTheme="majorHAnsi" w:cs="sUÏˇø¨hÕ"/>
          <w:color w:val="000000"/>
          <w:szCs w:val="14"/>
        </w:rPr>
        <w:t xml:space="preserve">HEET </w:t>
      </w:r>
      <w:r w:rsidRPr="00205415">
        <w:rPr>
          <w:rFonts w:asciiTheme="majorHAnsi" w:hAnsiTheme="majorHAnsi" w:cs="sUÏˇø¨hÕ"/>
          <w:color w:val="000000"/>
          <w:szCs w:val="16"/>
        </w:rPr>
        <w:t>A</w:t>
      </w:r>
      <w:r w:rsidRPr="00205415">
        <w:rPr>
          <w:rFonts w:asciiTheme="majorHAnsi" w:hAnsiTheme="majorHAnsi" w:cs="sUÏˇø¨hÕ"/>
          <w:color w:val="000000"/>
          <w:szCs w:val="14"/>
        </w:rPr>
        <w:t>CCOUNTS</w:t>
      </w:r>
    </w:p>
    <w:p w:rsidR="00205415" w:rsidRPr="00205415" w:rsidRDefault="00205415" w:rsidP="002971B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>A</w:t>
      </w:r>
      <w:r w:rsidRPr="00205415">
        <w:rPr>
          <w:rFonts w:asciiTheme="majorHAnsi" w:hAnsiTheme="majorHAnsi" w:cs="sUÏˇø¨hÕ"/>
          <w:color w:val="000000"/>
          <w:szCs w:val="14"/>
        </w:rPr>
        <w:t xml:space="preserve">S OF </w:t>
      </w:r>
      <w:r w:rsidRPr="00205415">
        <w:rPr>
          <w:rFonts w:asciiTheme="majorHAnsi" w:hAnsiTheme="majorHAnsi" w:cs="sUÏˇø¨hÕ"/>
          <w:color w:val="000000"/>
          <w:szCs w:val="16"/>
        </w:rPr>
        <w:t>D</w:t>
      </w:r>
      <w:r w:rsidRPr="00205415">
        <w:rPr>
          <w:rFonts w:asciiTheme="majorHAnsi" w:hAnsiTheme="majorHAnsi" w:cs="sUÏˇø¨hÕ"/>
          <w:color w:val="000000"/>
          <w:szCs w:val="14"/>
        </w:rPr>
        <w:t xml:space="preserve">ECEMBER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31, 2010 </w:t>
      </w:r>
      <w:r w:rsidRPr="00205415">
        <w:rPr>
          <w:rFonts w:asciiTheme="majorHAnsi" w:hAnsiTheme="majorHAnsi" w:cs="sUÏˇø¨hÕ"/>
          <w:color w:val="000000"/>
          <w:szCs w:val="14"/>
        </w:rPr>
        <w:t xml:space="preserve">AND </w:t>
      </w:r>
      <w:r w:rsidRPr="00205415">
        <w:rPr>
          <w:rFonts w:asciiTheme="majorHAnsi" w:hAnsiTheme="majorHAnsi" w:cs="sUÏˇø¨hÕ"/>
          <w:color w:val="000000"/>
          <w:szCs w:val="16"/>
        </w:rPr>
        <w:t>2009</w:t>
      </w:r>
    </w:p>
    <w:p w:rsidR="002971BC" w:rsidRDefault="002971BC" w:rsidP="002971BC">
      <w:pPr>
        <w:widowControl w:val="0"/>
        <w:autoSpaceDE w:val="0"/>
        <w:autoSpaceDN w:val="0"/>
        <w:adjustRightInd w:val="0"/>
        <w:ind w:left="4320" w:firstLine="720"/>
        <w:rPr>
          <w:rFonts w:asciiTheme="majorHAnsi" w:hAnsiTheme="majorHAnsi" w:cs="sUÏˇø¨hÕ"/>
          <w:color w:val="000000"/>
          <w:szCs w:val="16"/>
        </w:rPr>
      </w:pPr>
    </w:p>
    <w:p w:rsidR="00205415" w:rsidRPr="00205415" w:rsidRDefault="00205415" w:rsidP="002971BC">
      <w:pPr>
        <w:widowControl w:val="0"/>
        <w:autoSpaceDE w:val="0"/>
        <w:autoSpaceDN w:val="0"/>
        <w:adjustRightInd w:val="0"/>
        <w:ind w:left="5040" w:firstLine="72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>December 31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971BC">
        <w:rPr>
          <w:rFonts w:asciiTheme="majorHAnsi" w:hAnsiTheme="majorHAnsi" w:cs="sUÏˇø¨hÕ"/>
          <w:b/>
          <w:color w:val="000000"/>
          <w:szCs w:val="16"/>
        </w:rPr>
        <w:t>Debit Accounts</w:t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  <w:t xml:space="preserve">    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 2010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</w:t>
      </w:r>
      <w:r w:rsidRPr="00205415">
        <w:rPr>
          <w:rFonts w:asciiTheme="majorHAnsi" w:hAnsiTheme="majorHAnsi" w:cs="sUÏˇø¨hÕ"/>
          <w:color w:val="000000"/>
          <w:szCs w:val="16"/>
        </w:rPr>
        <w:t>2009</w:t>
      </w:r>
    </w:p>
    <w:p w:rsidR="002971BC" w:rsidRDefault="002971BC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Cash </w:t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Pr="00205415">
        <w:rPr>
          <w:rFonts w:asciiTheme="majorHAnsi" w:hAnsiTheme="majorHAnsi" w:cs="sUÏˇø¨hÕ"/>
          <w:color w:val="000000"/>
          <w:szCs w:val="16"/>
        </w:rPr>
        <w:t xml:space="preserve">$ 42,000 </w:t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Pr="00205415">
        <w:rPr>
          <w:rFonts w:asciiTheme="majorHAnsi" w:hAnsiTheme="majorHAnsi" w:cs="sUÏˇø¨hÕ"/>
          <w:color w:val="000000"/>
          <w:szCs w:val="16"/>
        </w:rPr>
        <w:t>$ 33,750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Accounts Receivable </w:t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  <w:t xml:space="preserve">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70,500 </w:t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  <w:t xml:space="preserve">   </w:t>
      </w:r>
      <w:r w:rsidRPr="00205415">
        <w:rPr>
          <w:rFonts w:asciiTheme="majorHAnsi" w:hAnsiTheme="majorHAnsi" w:cs="sUÏˇø¨hÕ"/>
          <w:color w:val="000000"/>
          <w:szCs w:val="16"/>
        </w:rPr>
        <w:t>60,000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Merchandise Inventory </w:t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</w:r>
      <w:r w:rsidR="002971BC">
        <w:rPr>
          <w:rFonts w:asciiTheme="majorHAnsi" w:hAnsiTheme="majorHAnsi" w:cs="sUÏˇø¨hÕ"/>
          <w:color w:val="000000"/>
          <w:szCs w:val="16"/>
        </w:rPr>
        <w:tab/>
        <w:t xml:space="preserve">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30,000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>24,000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>Investments (available-for-sale</w:t>
      </w:r>
      <w:proofErr w:type="gramStart"/>
      <w:r w:rsidRPr="00205415">
        <w:rPr>
          <w:rFonts w:asciiTheme="majorHAnsi" w:hAnsiTheme="majorHAnsi" w:cs="sUÏˇø¨hÕ"/>
          <w:color w:val="000000"/>
          <w:szCs w:val="16"/>
        </w:rPr>
        <w:t xml:space="preserve">)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>22,250</w:t>
      </w:r>
      <w:proofErr w:type="gramEnd"/>
      <w:r w:rsidRPr="00205415">
        <w:rPr>
          <w:rFonts w:asciiTheme="majorHAnsi" w:hAnsiTheme="majorHAnsi" w:cs="sUÏˇø¨hÕ"/>
          <w:color w:val="000000"/>
          <w:szCs w:val="16"/>
        </w:rPr>
        <w:t xml:space="preserve">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>38,500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Machinery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                      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30,000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>18,750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Buildings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                         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67,500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>56,250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Land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                                   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7,500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</w:t>
      </w:r>
      <w:proofErr w:type="spellStart"/>
      <w:r w:rsidRPr="00205415">
        <w:rPr>
          <w:rFonts w:asciiTheme="majorHAnsi" w:hAnsiTheme="majorHAnsi" w:cs="sUÏˇø¨hÕ"/>
          <w:color w:val="000000"/>
          <w:szCs w:val="16"/>
        </w:rPr>
        <w:t>7,500</w:t>
      </w:r>
      <w:proofErr w:type="spellEnd"/>
    </w:p>
    <w:p w:rsidR="00205415" w:rsidRPr="00205415" w:rsidRDefault="002971BC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>
        <w:rPr>
          <w:rFonts w:asciiTheme="majorHAnsi" w:hAnsiTheme="majorHAnsi" w:cs="sUÏˇø¨hÕ"/>
          <w:color w:val="000000"/>
          <w:szCs w:val="16"/>
        </w:rPr>
        <w:t xml:space="preserve">                                                                                             </w:t>
      </w:r>
      <w:r w:rsidR="00205415" w:rsidRPr="00205415">
        <w:rPr>
          <w:rFonts w:asciiTheme="majorHAnsi" w:hAnsiTheme="majorHAnsi" w:cs="sUÏˇø¨hÕ"/>
          <w:color w:val="000000"/>
          <w:szCs w:val="16"/>
        </w:rPr>
        <w:t xml:space="preserve">$269,750 </w:t>
      </w:r>
      <w:r>
        <w:rPr>
          <w:rFonts w:asciiTheme="majorHAnsi" w:hAnsiTheme="majorHAnsi" w:cs="sUÏˇø¨hÕ"/>
          <w:color w:val="000000"/>
          <w:szCs w:val="16"/>
        </w:rPr>
        <w:t xml:space="preserve">                     </w:t>
      </w:r>
      <w:r w:rsidR="00205415" w:rsidRPr="00205415">
        <w:rPr>
          <w:rFonts w:asciiTheme="majorHAnsi" w:hAnsiTheme="majorHAnsi" w:cs="sUÏˇø¨hÕ"/>
          <w:color w:val="000000"/>
          <w:szCs w:val="16"/>
        </w:rPr>
        <w:t>$238,750</w:t>
      </w:r>
    </w:p>
    <w:p w:rsidR="00205415" w:rsidRPr="002971BC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b/>
          <w:color w:val="000000"/>
          <w:szCs w:val="16"/>
        </w:rPr>
      </w:pPr>
      <w:r w:rsidRPr="002971BC">
        <w:rPr>
          <w:rFonts w:asciiTheme="majorHAnsi" w:hAnsiTheme="majorHAnsi" w:cs="sUÏˇø¨hÕ"/>
          <w:b/>
          <w:color w:val="000000"/>
          <w:szCs w:val="16"/>
        </w:rPr>
        <w:t>Credit Accounts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Allowance for Doubtful Accounts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$ 2,250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>$ 1,500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Accumulated Depreciation—Machinery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5,625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>2,250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Accumulated Depreciation—Buildings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13,500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>9,000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Accounts Payable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           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35,000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>24,750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Accrued Payables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              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3,375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>2,625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Long-Term Note Payable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21,000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>31,000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Common Stock, no par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150,000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>125,000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Retained Earnings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                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39,000 </w:t>
      </w:r>
      <w:r w:rsidR="002971BC">
        <w:rPr>
          <w:rFonts w:asciiTheme="majorHAnsi" w:hAnsiTheme="majorHAnsi" w:cs="sUÏˇø¨hÕ"/>
          <w:color w:val="000000"/>
          <w:szCs w:val="16"/>
        </w:rPr>
        <w:t xml:space="preserve">                         </w:t>
      </w:r>
      <w:r w:rsidRPr="00205415">
        <w:rPr>
          <w:rFonts w:asciiTheme="majorHAnsi" w:hAnsiTheme="majorHAnsi" w:cs="sUÏˇø¨hÕ"/>
          <w:color w:val="000000"/>
          <w:szCs w:val="16"/>
        </w:rPr>
        <w:t>42,625</w:t>
      </w:r>
    </w:p>
    <w:p w:rsidR="00205415" w:rsidRPr="00205415" w:rsidRDefault="002971BC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>
        <w:rPr>
          <w:rFonts w:asciiTheme="majorHAnsi" w:hAnsiTheme="majorHAnsi" w:cs="sUÏˇø¨hÕ"/>
          <w:color w:val="000000"/>
          <w:szCs w:val="16"/>
        </w:rPr>
        <w:t xml:space="preserve">                                                                                               </w:t>
      </w:r>
      <w:r w:rsidR="00205415" w:rsidRPr="00205415">
        <w:rPr>
          <w:rFonts w:asciiTheme="majorHAnsi" w:hAnsiTheme="majorHAnsi" w:cs="sUÏˇø¨hÕ"/>
          <w:color w:val="000000"/>
          <w:szCs w:val="16"/>
        </w:rPr>
        <w:t xml:space="preserve">$269,750 </w:t>
      </w:r>
      <w:r>
        <w:rPr>
          <w:rFonts w:asciiTheme="majorHAnsi" w:hAnsiTheme="majorHAnsi" w:cs="sUÏˇø¨hÕ"/>
          <w:color w:val="000000"/>
          <w:szCs w:val="16"/>
        </w:rPr>
        <w:t xml:space="preserve">                    </w:t>
      </w:r>
      <w:r w:rsidR="00205415" w:rsidRPr="00205415">
        <w:rPr>
          <w:rFonts w:asciiTheme="majorHAnsi" w:hAnsiTheme="majorHAnsi" w:cs="sUÏˇø¨hÕ"/>
          <w:color w:val="000000"/>
          <w:szCs w:val="16"/>
        </w:rPr>
        <w:t>$238,750</w:t>
      </w:r>
    </w:p>
    <w:p w:rsidR="007306B9" w:rsidRDefault="007306B9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8"/>
        </w:rPr>
      </w:pPr>
    </w:p>
    <w:p w:rsidR="007306B9" w:rsidRDefault="007306B9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8"/>
        </w:rPr>
      </w:pP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8"/>
        </w:rPr>
      </w:pPr>
      <w:r w:rsidRPr="00205415">
        <w:rPr>
          <w:rFonts w:asciiTheme="majorHAnsi" w:hAnsiTheme="majorHAnsi" w:cs="sUÏˇø¨hÕ"/>
          <w:color w:val="000000"/>
          <w:szCs w:val="18"/>
        </w:rPr>
        <w:t>Additional data (ignoring taxes):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8"/>
        </w:rPr>
      </w:pPr>
      <w:r w:rsidRPr="00205415">
        <w:rPr>
          <w:rFonts w:asciiTheme="majorHAnsi" w:hAnsiTheme="majorHAnsi" w:cs="sUÏˇø¨hÕ"/>
          <w:color w:val="000000"/>
          <w:szCs w:val="18"/>
        </w:rPr>
        <w:t>1. Net income for the year was $42,500.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8"/>
        </w:rPr>
      </w:pPr>
      <w:r w:rsidRPr="00205415">
        <w:rPr>
          <w:rFonts w:asciiTheme="majorHAnsi" w:hAnsiTheme="majorHAnsi" w:cs="sUÏˇø¨hÕ"/>
          <w:color w:val="000000"/>
          <w:szCs w:val="18"/>
        </w:rPr>
        <w:t>2. Cash dividends declared and paid during the year were $21,125.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8"/>
        </w:rPr>
      </w:pPr>
      <w:r w:rsidRPr="00205415">
        <w:rPr>
          <w:rFonts w:asciiTheme="majorHAnsi" w:hAnsiTheme="majorHAnsi" w:cs="sUÏˇø¨hÕ"/>
          <w:color w:val="000000"/>
          <w:szCs w:val="18"/>
        </w:rPr>
        <w:t>3. A 20% stock dividend was declared during the year. $25,000 of retained earnings was capitalized.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8"/>
        </w:rPr>
      </w:pPr>
      <w:r w:rsidRPr="00205415">
        <w:rPr>
          <w:rFonts w:asciiTheme="majorHAnsi" w:hAnsiTheme="majorHAnsi" w:cs="sUÏˇø¨hÕ"/>
          <w:color w:val="000000"/>
          <w:szCs w:val="18"/>
        </w:rPr>
        <w:t>4. Investments that cost $25,000 were sold during the year for $28,750.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8"/>
        </w:rPr>
      </w:pPr>
      <w:r w:rsidRPr="00205415">
        <w:rPr>
          <w:rFonts w:asciiTheme="majorHAnsi" w:hAnsiTheme="majorHAnsi" w:cs="sUÏˇø¨hÕ"/>
          <w:color w:val="000000"/>
          <w:szCs w:val="18"/>
        </w:rPr>
        <w:t>5. Machinery that cost $3,750, on which $750 of de</w:t>
      </w:r>
      <w:r w:rsidR="007306B9">
        <w:rPr>
          <w:rFonts w:asciiTheme="majorHAnsi" w:hAnsiTheme="majorHAnsi" w:cs="sUÏˇø¨hÕ"/>
          <w:color w:val="000000"/>
          <w:szCs w:val="18"/>
        </w:rPr>
        <w:t xml:space="preserve">preciation had accumulated, was </w:t>
      </w:r>
      <w:r w:rsidRPr="00205415">
        <w:rPr>
          <w:rFonts w:asciiTheme="majorHAnsi" w:hAnsiTheme="majorHAnsi" w:cs="sUÏˇø¨hÕ"/>
          <w:color w:val="000000"/>
          <w:szCs w:val="18"/>
        </w:rPr>
        <w:t>sold for $2,200.</w:t>
      </w:r>
    </w:p>
    <w:p w:rsidR="007306B9" w:rsidRDefault="007306B9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8"/>
        </w:rPr>
      </w:pP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8"/>
        </w:rPr>
      </w:pPr>
      <w:r w:rsidRPr="00205415">
        <w:rPr>
          <w:rFonts w:asciiTheme="majorHAnsi" w:hAnsiTheme="majorHAnsi" w:cs="sUÏˇø¨hÕ"/>
          <w:color w:val="000000"/>
          <w:szCs w:val="18"/>
        </w:rPr>
        <w:t>Marcus’s 2010 income statement follows (ignoring taxes).</w:t>
      </w:r>
    </w:p>
    <w:p w:rsidR="007306B9" w:rsidRDefault="007306B9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Sales </w:t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  <w:t xml:space="preserve">           </w:t>
      </w:r>
      <w:r w:rsidRPr="00205415">
        <w:rPr>
          <w:rFonts w:asciiTheme="majorHAnsi" w:hAnsiTheme="majorHAnsi" w:cs="sUÏˇø¨hÕ"/>
          <w:color w:val="000000"/>
          <w:szCs w:val="16"/>
        </w:rPr>
        <w:t>$540,000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Less: Cost of goods sold </w:t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Pr="00205415">
        <w:rPr>
          <w:rFonts w:asciiTheme="majorHAnsi" w:hAnsiTheme="majorHAnsi" w:cs="sUÏˇø¨hÕ"/>
          <w:color w:val="000000"/>
          <w:szCs w:val="16"/>
        </w:rPr>
        <w:t>380,000</w:t>
      </w:r>
    </w:p>
    <w:p w:rsidR="007306B9" w:rsidRDefault="007306B9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Gross margin </w:t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Pr="00205415">
        <w:rPr>
          <w:rFonts w:asciiTheme="majorHAnsi" w:hAnsiTheme="majorHAnsi" w:cs="sUÏˇø¨hÕ"/>
          <w:color w:val="000000"/>
          <w:szCs w:val="16"/>
        </w:rPr>
        <w:t>160,000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>Less: Operating expenses (includes $8,625 depreciation and $5,400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proofErr w:type="gramStart"/>
      <w:r w:rsidRPr="00205415">
        <w:rPr>
          <w:rFonts w:asciiTheme="majorHAnsi" w:hAnsiTheme="majorHAnsi" w:cs="sUÏˇø¨hÕ"/>
          <w:color w:val="000000"/>
          <w:szCs w:val="16"/>
        </w:rPr>
        <w:t>bad</w:t>
      </w:r>
      <w:proofErr w:type="gramEnd"/>
      <w:r w:rsidRPr="00205415">
        <w:rPr>
          <w:rFonts w:asciiTheme="majorHAnsi" w:hAnsiTheme="majorHAnsi" w:cs="sUÏˇø¨hÕ"/>
          <w:color w:val="000000"/>
          <w:szCs w:val="16"/>
        </w:rPr>
        <w:t xml:space="preserve"> debts) </w:t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Pr="00205415">
        <w:rPr>
          <w:rFonts w:asciiTheme="majorHAnsi" w:hAnsiTheme="majorHAnsi" w:cs="sUÏˇø¨hÕ"/>
          <w:color w:val="000000"/>
          <w:szCs w:val="16"/>
        </w:rPr>
        <w:t>120,450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Income from operations </w:t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  <w:t xml:space="preserve">  </w:t>
      </w:r>
      <w:r w:rsidRPr="00205415">
        <w:rPr>
          <w:rFonts w:asciiTheme="majorHAnsi" w:hAnsiTheme="majorHAnsi" w:cs="sUÏˇø¨hÕ"/>
          <w:color w:val="000000"/>
          <w:szCs w:val="16"/>
        </w:rPr>
        <w:t>39,550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Other: Gain on sale of investments </w:t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Pr="00205415">
        <w:rPr>
          <w:rFonts w:asciiTheme="majorHAnsi" w:hAnsiTheme="majorHAnsi" w:cs="sUÏˇø¨hÕ"/>
          <w:color w:val="000000"/>
          <w:szCs w:val="16"/>
        </w:rPr>
        <w:t>$3,750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Loss on sale of machinery </w:t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  <w:t xml:space="preserve">    </w:t>
      </w:r>
      <w:r w:rsidRPr="00205415">
        <w:rPr>
          <w:rFonts w:asciiTheme="majorHAnsi" w:hAnsiTheme="majorHAnsi" w:cs="sUÏˇø¨hÕ"/>
          <w:color w:val="000000"/>
          <w:szCs w:val="16"/>
        </w:rPr>
        <w:t xml:space="preserve">(800) </w:t>
      </w:r>
      <w:r w:rsidR="007306B9">
        <w:rPr>
          <w:rFonts w:asciiTheme="majorHAnsi" w:hAnsiTheme="majorHAnsi" w:cs="sUÏˇø¨hÕ"/>
          <w:color w:val="000000"/>
          <w:szCs w:val="16"/>
        </w:rPr>
        <w:tab/>
        <w:t xml:space="preserve">     </w:t>
      </w:r>
      <w:r w:rsidRPr="00205415">
        <w:rPr>
          <w:rFonts w:asciiTheme="majorHAnsi" w:hAnsiTheme="majorHAnsi" w:cs="sUÏˇø¨hÕ"/>
          <w:color w:val="000000"/>
          <w:szCs w:val="16"/>
        </w:rPr>
        <w:t>2,950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6"/>
        </w:rPr>
      </w:pPr>
      <w:r w:rsidRPr="00205415">
        <w:rPr>
          <w:rFonts w:asciiTheme="majorHAnsi" w:hAnsiTheme="majorHAnsi" w:cs="sUÏˇø¨hÕ"/>
          <w:color w:val="000000"/>
          <w:szCs w:val="16"/>
        </w:rPr>
        <w:t xml:space="preserve">Net income </w:t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="007306B9">
        <w:rPr>
          <w:rFonts w:asciiTheme="majorHAnsi" w:hAnsiTheme="majorHAnsi" w:cs="sUÏˇø¨hÕ"/>
          <w:color w:val="000000"/>
          <w:szCs w:val="16"/>
        </w:rPr>
        <w:tab/>
      </w:r>
      <w:r w:rsidRPr="00205415">
        <w:rPr>
          <w:rFonts w:asciiTheme="majorHAnsi" w:hAnsiTheme="majorHAnsi" w:cs="sUÏˇø¨hÕ"/>
          <w:color w:val="000000"/>
          <w:szCs w:val="16"/>
        </w:rPr>
        <w:t>$ 42,500</w:t>
      </w:r>
    </w:p>
    <w:p w:rsidR="007306B9" w:rsidRDefault="007306B9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9AA6"/>
          <w:szCs w:val="18"/>
        </w:rPr>
      </w:pPr>
    </w:p>
    <w:p w:rsidR="007306B9" w:rsidRDefault="007306B9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9AA6"/>
          <w:szCs w:val="18"/>
        </w:rPr>
      </w:pP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9AA6"/>
          <w:szCs w:val="18"/>
        </w:rPr>
      </w:pPr>
      <w:r w:rsidRPr="00205415">
        <w:rPr>
          <w:rFonts w:asciiTheme="majorHAnsi" w:hAnsiTheme="majorHAnsi" w:cs="sUÏˇø¨hÕ"/>
          <w:color w:val="009AA6"/>
          <w:szCs w:val="18"/>
        </w:rPr>
        <w:t>Instructions</w:t>
      </w:r>
    </w:p>
    <w:p w:rsidR="00205415" w:rsidRPr="00205415" w:rsidRDefault="00205415" w:rsidP="00205415">
      <w:pPr>
        <w:widowControl w:val="0"/>
        <w:autoSpaceDE w:val="0"/>
        <w:autoSpaceDN w:val="0"/>
        <w:adjustRightInd w:val="0"/>
        <w:rPr>
          <w:rFonts w:asciiTheme="majorHAnsi" w:hAnsiTheme="majorHAnsi" w:cs="sUÏˇø¨hÕ"/>
          <w:color w:val="000000"/>
          <w:szCs w:val="18"/>
        </w:rPr>
      </w:pPr>
      <w:r w:rsidRPr="00205415">
        <w:rPr>
          <w:rFonts w:asciiTheme="majorHAnsi" w:hAnsiTheme="majorHAnsi" w:cs="sUÏˇø¨hÕ"/>
          <w:color w:val="000000"/>
          <w:szCs w:val="18"/>
        </w:rPr>
        <w:t>(a) Compute net cash flow from operating activities using the direct method.</w:t>
      </w:r>
    </w:p>
    <w:p w:rsidR="00205415" w:rsidRPr="00205415" w:rsidRDefault="00205415" w:rsidP="00205415">
      <w:pPr>
        <w:rPr>
          <w:rFonts w:asciiTheme="majorHAnsi" w:hAnsiTheme="majorHAnsi"/>
        </w:rPr>
      </w:pPr>
      <w:r w:rsidRPr="00205415">
        <w:rPr>
          <w:rFonts w:asciiTheme="majorHAnsi" w:hAnsiTheme="majorHAnsi" w:cs="sUÏˇø¨hÕ"/>
          <w:color w:val="000000"/>
          <w:szCs w:val="18"/>
        </w:rPr>
        <w:t>(b) Prepare a statement of cash flows using the indirect method.</w:t>
      </w:r>
    </w:p>
    <w:sectPr w:rsidR="00205415" w:rsidRPr="00205415" w:rsidSect="0020541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M Ïˇø¨hÕ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UÏˇø¨hÕ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05415"/>
    <w:rsid w:val="001269BB"/>
    <w:rsid w:val="00205415"/>
    <w:rsid w:val="002971BC"/>
    <w:rsid w:val="007306B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9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590</Words>
  <Characters>3366</Characters>
  <Application>Microsoft Macintosh Word</Application>
  <DocSecurity>0</DocSecurity>
  <Lines>28</Lines>
  <Paragraphs>6</Paragraphs>
  <ScaleCrop>false</ScaleCrop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Browning</dc:creator>
  <cp:keywords/>
  <cp:lastModifiedBy>Melissa Browning</cp:lastModifiedBy>
  <cp:revision>1</cp:revision>
  <dcterms:created xsi:type="dcterms:W3CDTF">2012-04-16T01:30:00Z</dcterms:created>
  <dcterms:modified xsi:type="dcterms:W3CDTF">2012-04-16T02:11:00Z</dcterms:modified>
</cp:coreProperties>
</file>