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A2" w:rsidRPr="00BD07A2" w:rsidRDefault="00BD07A2" w:rsidP="00BD07A2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  <w:sz w:val="28"/>
          <w:szCs w:val="28"/>
        </w:rPr>
      </w:pPr>
      <w:r w:rsidRPr="00BD07A2">
        <w:rPr>
          <w:color w:val="000000"/>
          <w:sz w:val="28"/>
          <w:szCs w:val="28"/>
        </w:rPr>
        <w:t>Below is the operating data from Brown Inc. for last year:</w:t>
      </w:r>
    </w:p>
    <w:p w:rsidR="00BD07A2" w:rsidRPr="00BD07A2" w:rsidRDefault="00BD07A2" w:rsidP="00BD07A2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  <w:sz w:val="28"/>
          <w:szCs w:val="28"/>
        </w:rPr>
      </w:pPr>
      <w:r w:rsidRPr="00BD07A2">
        <w:rPr>
          <w:color w:val="000000"/>
          <w:sz w:val="28"/>
          <w:szCs w:val="28"/>
        </w:rPr>
        <w:br/>
      </w:r>
      <w:r w:rsidRPr="00BD07A2">
        <w:rPr>
          <w:color w:val="000000"/>
          <w:sz w:val="28"/>
          <w:szCs w:val="28"/>
        </w:rPr>
        <w:br/>
        <w:t> </w:t>
      </w:r>
      <w:r w:rsidRPr="00BD07A2">
        <w:rPr>
          <w:noProof/>
          <w:color w:val="000000"/>
          <w:sz w:val="28"/>
          <w:szCs w:val="28"/>
        </w:rPr>
        <w:drawing>
          <wp:inline distT="0" distB="0" distL="0" distR="0">
            <wp:extent cx="3305175" cy="13335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A2">
        <w:rPr>
          <w:color w:val="000000"/>
          <w:sz w:val="28"/>
          <w:szCs w:val="28"/>
        </w:rPr>
        <w:t> </w:t>
      </w:r>
    </w:p>
    <w:p w:rsidR="00BD07A2" w:rsidRPr="00BD07A2" w:rsidRDefault="00BD07A2" w:rsidP="00BD07A2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  <w:sz w:val="28"/>
          <w:szCs w:val="28"/>
        </w:rPr>
      </w:pPr>
    </w:p>
    <w:p w:rsidR="00BD07A2" w:rsidRPr="00BD07A2" w:rsidRDefault="00BD07A2" w:rsidP="00BD07A2">
      <w:pPr>
        <w:keepLines/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07A2">
        <w:rPr>
          <w:color w:val="000000"/>
          <w:sz w:val="28"/>
          <w:szCs w:val="28"/>
        </w:rPr>
        <w:t> a. The average operating assets amounted to: </w:t>
      </w:r>
    </w:p>
    <w:p w:rsidR="00BD07A2" w:rsidRPr="00BD07A2" w:rsidRDefault="00BD07A2" w:rsidP="00BD07A2">
      <w:pPr>
        <w:keepLines/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D07A2" w:rsidRPr="00BD07A2" w:rsidRDefault="00BD07A2" w:rsidP="00BD07A2">
      <w:pPr>
        <w:keepLines/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D07A2">
        <w:rPr>
          <w:color w:val="000000"/>
          <w:sz w:val="28"/>
          <w:szCs w:val="28"/>
        </w:rPr>
        <w:t>b. The residual income was:</w:t>
      </w:r>
    </w:p>
    <w:p w:rsidR="00D07757" w:rsidRPr="00BD07A2" w:rsidRDefault="00BD07A2" w:rsidP="00BD07A2">
      <w:pPr>
        <w:rPr>
          <w:sz w:val="28"/>
          <w:szCs w:val="28"/>
        </w:rPr>
      </w:pPr>
      <w:r w:rsidRPr="00BD07A2">
        <w:rPr>
          <w:color w:val="000000"/>
          <w:sz w:val="28"/>
          <w:szCs w:val="28"/>
        </w:rPr>
        <w:t> </w:t>
      </w:r>
      <w:r w:rsidRPr="00BD07A2">
        <w:rPr>
          <w:color w:val="000000"/>
          <w:sz w:val="28"/>
          <w:szCs w:val="28"/>
        </w:rPr>
        <w:br/>
      </w:r>
      <w:r w:rsidRPr="00BD07A2">
        <w:rPr>
          <w:i/>
          <w:iCs/>
          <w:color w:val="000000"/>
          <w:sz w:val="28"/>
          <w:szCs w:val="28"/>
        </w:rPr>
        <w:t> </w:t>
      </w:r>
      <w:r w:rsidRPr="00BD07A2">
        <w:rPr>
          <w:color w:val="000000"/>
          <w:sz w:val="28"/>
          <w:szCs w:val="28"/>
        </w:rPr>
        <w:t>c. The margin used in ROI calculations was:</w:t>
      </w:r>
    </w:p>
    <w:sectPr w:rsidR="00D07757" w:rsidRPr="00BD07A2" w:rsidSect="00D0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D07A2"/>
    <w:rsid w:val="00BD07A2"/>
    <w:rsid w:val="00D0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Hewlett-Packard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 Alsrasri</dc:creator>
  <cp:lastModifiedBy>Ziyad Alsrasri</cp:lastModifiedBy>
  <cp:revision>1</cp:revision>
  <dcterms:created xsi:type="dcterms:W3CDTF">2012-03-08T06:00:00Z</dcterms:created>
  <dcterms:modified xsi:type="dcterms:W3CDTF">2012-03-08T06:01:00Z</dcterms:modified>
</cp:coreProperties>
</file>