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77" w:rsidRDefault="00821277" w:rsidP="008212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Chapter 18</w:t>
      </w:r>
    </w:p>
    <w:p w:rsidR="00821277" w:rsidRDefault="00821277" w:rsidP="008212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21277" w:rsidRDefault="00821277" w:rsidP="008212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  D 1.   Data for Osaka Corporation for the month of June 20xx are as follows:</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Ind w:w="13" w:type="dxa"/>
        <w:tblCellMar>
          <w:left w:w="0" w:type="dxa"/>
          <w:right w:w="0" w:type="dxa"/>
        </w:tblCellMar>
        <w:tblLook w:val="0000"/>
      </w:tblPr>
      <w:tblGrid>
        <w:gridCol w:w="4065"/>
        <w:gridCol w:w="4304"/>
      </w:tblGrid>
      <w:tr w:rsidR="00821277" w:rsidTr="00366891">
        <w:trPr>
          <w:trHeight w:val="261"/>
        </w:trPr>
        <w:tc>
          <w:tcPr>
            <w:tcW w:w="4065" w:type="dxa"/>
            <w:tcBorders>
              <w:top w:val="single" w:sz="6" w:space="0" w:color="auto"/>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Beginning work in process inventory:</w:t>
            </w:r>
          </w:p>
        </w:tc>
        <w:tc>
          <w:tcPr>
            <w:tcW w:w="4304" w:type="dxa"/>
            <w:tcBorders>
              <w:top w:val="single" w:sz="6" w:space="0" w:color="auto"/>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Operations for the month of June:</w:t>
            </w: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Units—800 </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Units started—14,000</w:t>
            </w:r>
          </w:p>
        </w:tc>
      </w:tr>
      <w:tr w:rsidR="00821277" w:rsidTr="00366891">
        <w:trPr>
          <w:trHeight w:val="273"/>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Direct materials—100% complete</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Direct materials costs—$57,400</w:t>
            </w: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Conversion costs—70% complete</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Conversion costs—$50,122</w:t>
            </w: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Direct materials costs—$2,860</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Conversion costs—$2,150</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Ending work in process inventory:</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Units—1,500</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61"/>
        </w:trPr>
        <w:tc>
          <w:tcPr>
            <w:tcW w:w="4065"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Direct materials—100% complete</w:t>
            </w:r>
          </w:p>
        </w:tc>
        <w:tc>
          <w:tcPr>
            <w:tcW w:w="430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73"/>
        </w:trPr>
        <w:tc>
          <w:tcPr>
            <w:tcW w:w="4065" w:type="dxa"/>
            <w:tcBorders>
              <w:top w:val="nil"/>
              <w:left w:val="single" w:sz="6" w:space="0" w:color="auto"/>
              <w:bottom w:val="single" w:sz="6" w:space="0" w:color="auto"/>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Conversion costs—30% complete</w:t>
            </w:r>
          </w:p>
        </w:tc>
        <w:tc>
          <w:tcPr>
            <w:tcW w:w="4304" w:type="dxa"/>
            <w:tcBorders>
              <w:top w:val="nil"/>
              <w:left w:val="nil"/>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bl>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Assume the company uses average costing method.</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Prepare a process cost report for June.</w:t>
      </w:r>
    </w:p>
    <w:p w:rsidR="00821277" w:rsidRDefault="00821277" w:rsidP="00821277">
      <w:pPr>
        <w:widowControl w:val="0"/>
        <w:suppressAutoHyphens/>
        <w:autoSpaceDE w:val="0"/>
        <w:autoSpaceDN w:val="0"/>
        <w:adjustRightInd w:val="0"/>
        <w:spacing w:after="1" w:line="240" w:lineRule="auto"/>
        <w:rPr>
          <w:rFonts w:ascii="Times New Roman" w:hAnsi="Times New Roman" w:cs="Times New Roman"/>
          <w:color w:val="000000"/>
        </w:rPr>
      </w:pP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tbl>
      <w:tblPr>
        <w:tblW w:w="0" w:type="auto"/>
        <w:tblInd w:w="13" w:type="dxa"/>
        <w:tblCellMar>
          <w:left w:w="0" w:type="dxa"/>
          <w:right w:w="0" w:type="dxa"/>
        </w:tblCellMar>
        <w:tblLook w:val="0000"/>
      </w:tblPr>
      <w:tblGrid>
        <w:gridCol w:w="1956"/>
        <w:gridCol w:w="1258"/>
        <w:gridCol w:w="300"/>
        <w:gridCol w:w="869"/>
        <w:gridCol w:w="286"/>
        <w:gridCol w:w="430"/>
        <w:gridCol w:w="341"/>
        <w:gridCol w:w="326"/>
        <w:gridCol w:w="874"/>
        <w:gridCol w:w="294"/>
        <w:gridCol w:w="234"/>
        <w:gridCol w:w="1181"/>
      </w:tblGrid>
      <w:tr w:rsidR="00821277" w:rsidTr="00366891">
        <w:trPr>
          <w:trHeight w:val="649"/>
        </w:trPr>
        <w:tc>
          <w:tcPr>
            <w:tcW w:w="8349" w:type="dxa"/>
            <w:gridSpan w:val="12"/>
            <w:tcBorders>
              <w:top w:val="single" w:sz="6" w:space="0" w:color="auto"/>
              <w:left w:val="single" w:sz="6" w:space="0" w:color="auto"/>
              <w:bottom w:val="single" w:sz="12"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Osaka Corporation</w:t>
            </w: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Process Cost Report: Average Costing Method</w:t>
            </w: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For the Month Ended June 30, 20xx</w:t>
            </w:r>
          </w:p>
        </w:tc>
      </w:tr>
      <w:tr w:rsidR="00821277" w:rsidTr="00366891">
        <w:trPr>
          <w:trHeight w:val="217"/>
        </w:trPr>
        <w:tc>
          <w:tcPr>
            <w:tcW w:w="1956" w:type="dxa"/>
            <w:tcBorders>
              <w:top w:val="single" w:sz="12"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558" w:type="dxa"/>
            <w:gridSpan w:val="2"/>
            <w:tcBorders>
              <w:top w:val="single" w:sz="12"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Physical Units</w:t>
            </w:r>
          </w:p>
        </w:tc>
        <w:tc>
          <w:tcPr>
            <w:tcW w:w="4835" w:type="dxa"/>
            <w:gridSpan w:val="9"/>
            <w:tcBorders>
              <w:top w:val="single" w:sz="12" w:space="0" w:color="auto"/>
              <w:left w:val="single" w:sz="6" w:space="0" w:color="auto"/>
              <w:bottom w:val="nil"/>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217"/>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Beginning inventory</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p>
        </w:tc>
        <w:tc>
          <w:tcPr>
            <w:tcW w:w="4835" w:type="dxa"/>
            <w:gridSpan w:val="9"/>
            <w:tcBorders>
              <w:top w:val="nil"/>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Equivalent Units</w:t>
            </w:r>
          </w:p>
        </w:tc>
      </w:tr>
      <w:tr w:rsidR="00821277" w:rsidTr="00366891">
        <w:trPr>
          <w:trHeight w:val="432"/>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started this period</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tc>
        <w:tc>
          <w:tcPr>
            <w:tcW w:w="1585"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Direct Materials</w:t>
            </w:r>
          </w:p>
        </w:tc>
        <w:tc>
          <w:tcPr>
            <w:tcW w:w="667"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2"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Conversion Costs</w:t>
            </w:r>
          </w:p>
        </w:tc>
        <w:tc>
          <w:tcPr>
            <w:tcW w:w="1181"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821277" w:rsidTr="00366891">
        <w:trPr>
          <w:trHeight w:val="432"/>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to be accounted for</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1585"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667"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1402"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1181"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r>
      <w:tr w:rsidR="00821277" w:rsidTr="00366891">
        <w:trPr>
          <w:trHeight w:val="432"/>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completed and transferred out</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585"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667"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02"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181"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206"/>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Ending inventory</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tc>
        <w:tc>
          <w:tcPr>
            <w:tcW w:w="1585"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tc>
        <w:tc>
          <w:tcPr>
            <w:tcW w:w="667"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02"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u w:val="single"/>
              </w:rPr>
            </w:pPr>
          </w:p>
        </w:tc>
        <w:tc>
          <w:tcPr>
            <w:tcW w:w="1181"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17"/>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accounted for</w:t>
            </w:r>
          </w:p>
        </w:tc>
        <w:tc>
          <w:tcPr>
            <w:tcW w:w="1558"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1585"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667"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u w:val="double"/>
              </w:rPr>
            </w:pPr>
          </w:p>
        </w:tc>
        <w:tc>
          <w:tcPr>
            <w:tcW w:w="1402" w:type="dxa"/>
            <w:gridSpan w:val="3"/>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1181"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u w:val="double"/>
              </w:rPr>
            </w:pPr>
          </w:p>
        </w:tc>
      </w:tr>
      <w:tr w:rsidR="00821277" w:rsidTr="00366891">
        <w:trPr>
          <w:trHeight w:val="217"/>
        </w:trPr>
        <w:tc>
          <w:tcPr>
            <w:tcW w:w="1956" w:type="dxa"/>
            <w:tcBorders>
              <w:top w:val="single" w:sz="6" w:space="0" w:color="auto"/>
              <w:left w:val="single" w:sz="6" w:space="0" w:color="auto"/>
              <w:bottom w:val="nil"/>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u w:val="double"/>
              </w:rPr>
            </w:pPr>
          </w:p>
        </w:tc>
        <w:tc>
          <w:tcPr>
            <w:tcW w:w="1558" w:type="dxa"/>
            <w:gridSpan w:val="2"/>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Total Costs</w:t>
            </w:r>
          </w:p>
        </w:tc>
        <w:tc>
          <w:tcPr>
            <w:tcW w:w="2252" w:type="dxa"/>
            <w:gridSpan w:val="5"/>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Direct Materials </w:t>
            </w:r>
          </w:p>
        </w:tc>
        <w:tc>
          <w:tcPr>
            <w:tcW w:w="2583"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Conversion Costs</w:t>
            </w:r>
          </w:p>
        </w:tc>
      </w:tr>
      <w:tr w:rsidR="00821277" w:rsidTr="00366891">
        <w:trPr>
          <w:trHeight w:val="217"/>
        </w:trPr>
        <w:tc>
          <w:tcPr>
            <w:tcW w:w="1956" w:type="dxa"/>
            <w:tcBorders>
              <w:top w:val="nil"/>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558" w:type="dxa"/>
            <w:gridSpan w:val="2"/>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252" w:type="dxa"/>
            <w:gridSpan w:val="5"/>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583"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217"/>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Beginning inventory</w:t>
            </w:r>
          </w:p>
        </w:tc>
        <w:tc>
          <w:tcPr>
            <w:tcW w:w="1258" w:type="dxa"/>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00" w:type="dxa"/>
            <w:tcBorders>
              <w:top w:val="single" w:sz="6" w:space="0" w:color="auto"/>
              <w:left w:val="single" w:sz="6" w:space="0" w:color="000000"/>
              <w:bottom w:val="nil"/>
              <w:right w:val="single" w:sz="6" w:space="0" w:color="000000"/>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p>
        </w:tc>
        <w:tc>
          <w:tcPr>
            <w:tcW w:w="1926" w:type="dxa"/>
            <w:gridSpan w:val="4"/>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583"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r>
      <w:tr w:rsidR="00821277" w:rsidTr="00366891">
        <w:trPr>
          <w:trHeight w:val="206"/>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costs</w:t>
            </w:r>
          </w:p>
        </w:tc>
        <w:tc>
          <w:tcPr>
            <w:tcW w:w="1258" w:type="dxa"/>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tc>
        <w:tc>
          <w:tcPr>
            <w:tcW w:w="300" w:type="dxa"/>
            <w:tcBorders>
              <w:top w:val="nil"/>
              <w:left w:val="single" w:sz="6" w:space="0" w:color="000000"/>
              <w:bottom w:val="nil"/>
              <w:right w:val="single" w:sz="6" w:space="0" w:color="000000"/>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p>
        </w:tc>
        <w:tc>
          <w:tcPr>
            <w:tcW w:w="1926" w:type="dxa"/>
            <w:gridSpan w:val="4"/>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326" w:type="dxa"/>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583"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217"/>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costs</w:t>
            </w:r>
          </w:p>
        </w:tc>
        <w:tc>
          <w:tcPr>
            <w:tcW w:w="1258" w:type="dxa"/>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double"/>
              </w:rPr>
            </w:pPr>
          </w:p>
        </w:tc>
        <w:tc>
          <w:tcPr>
            <w:tcW w:w="300" w:type="dxa"/>
            <w:tcBorders>
              <w:top w:val="nil"/>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p>
        </w:tc>
        <w:tc>
          <w:tcPr>
            <w:tcW w:w="1926" w:type="dxa"/>
            <w:gridSpan w:val="4"/>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583"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432"/>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Equivalent Units</w:t>
            </w:r>
          </w:p>
        </w:tc>
        <w:tc>
          <w:tcPr>
            <w:tcW w:w="1258" w:type="dxa"/>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00" w:type="dxa"/>
            <w:tcBorders>
              <w:top w:val="single" w:sz="6" w:space="0" w:color="auto"/>
              <w:left w:val="single" w:sz="6" w:space="0" w:color="000000"/>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26" w:type="dxa"/>
            <w:gridSpan w:val="4"/>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u w:val="single"/>
              </w:rPr>
            </w:pP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583" w:type="dxa"/>
            <w:gridSpan w:val="4"/>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423"/>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 per equivalent unit</w:t>
            </w:r>
          </w:p>
        </w:tc>
        <w:tc>
          <w:tcPr>
            <w:tcW w:w="1258" w:type="dxa"/>
            <w:tcBorders>
              <w:top w:val="single" w:sz="6" w:space="0" w:color="auto"/>
              <w:left w:val="single" w:sz="6" w:space="0" w:color="auto"/>
              <w:bottom w:val="single" w:sz="6" w:space="0" w:color="auto"/>
              <w:right w:val="single" w:sz="6" w:space="0" w:color="000000"/>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p>
        </w:tc>
        <w:tc>
          <w:tcPr>
            <w:tcW w:w="300" w:type="dxa"/>
            <w:tcBorders>
              <w:top w:val="single" w:sz="6" w:space="0" w:color="auto"/>
              <w:left w:val="single" w:sz="6" w:space="0" w:color="000000"/>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26" w:type="dxa"/>
            <w:gridSpan w:val="4"/>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*Rounded to nearest cent</w:t>
            </w:r>
          </w:p>
        </w:tc>
        <w:tc>
          <w:tcPr>
            <w:tcW w:w="32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583" w:type="dxa"/>
            <w:gridSpan w:val="4"/>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*Rounded to nearest cent</w:t>
            </w:r>
          </w:p>
        </w:tc>
      </w:tr>
      <w:tr w:rsidR="00821277" w:rsidTr="00366891">
        <w:trPr>
          <w:trHeight w:val="649"/>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 of goods manufactured and transferred out:</w:t>
            </w:r>
          </w:p>
        </w:tc>
        <w:tc>
          <w:tcPr>
            <w:tcW w:w="1258"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p>
        </w:tc>
        <w:tc>
          <w:tcPr>
            <w:tcW w:w="300"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26" w:type="dxa"/>
            <w:gridSpan w:val="4"/>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583" w:type="dxa"/>
            <w:gridSpan w:val="4"/>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432"/>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completed and transferred out (Cost of goods manufactured)</w:t>
            </w:r>
          </w:p>
        </w:tc>
        <w:tc>
          <w:tcPr>
            <w:tcW w:w="1258"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300"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u w:val="single"/>
              </w:rPr>
            </w:pPr>
          </w:p>
        </w:tc>
        <w:tc>
          <w:tcPr>
            <w:tcW w:w="869"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28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771"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74"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294"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415"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821277" w:rsidTr="00366891">
        <w:trPr>
          <w:trHeight w:val="206"/>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Ending inventory</w:t>
            </w:r>
          </w:p>
        </w:tc>
        <w:tc>
          <w:tcPr>
            <w:tcW w:w="1258"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p>
        </w:tc>
        <w:tc>
          <w:tcPr>
            <w:tcW w:w="300"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69"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28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771"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2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74"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c>
          <w:tcPr>
            <w:tcW w:w="294"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415" w:type="dxa"/>
            <w:gridSpan w:val="2"/>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p>
        </w:tc>
      </w:tr>
      <w:tr w:rsidR="00821277" w:rsidTr="00366891">
        <w:trPr>
          <w:trHeight w:val="226"/>
        </w:trPr>
        <w:tc>
          <w:tcPr>
            <w:tcW w:w="1956"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costs</w:t>
            </w:r>
          </w:p>
        </w:tc>
        <w:tc>
          <w:tcPr>
            <w:tcW w:w="1258" w:type="dxa"/>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u w:val="double"/>
              </w:rPr>
            </w:pPr>
            <w:r>
              <w:rPr>
                <w:rFonts w:ascii="Times New Roman" w:hAnsi="Times New Roman" w:cs="Times New Roman"/>
                <w:color w:val="000000"/>
              </w:rPr>
              <w:t>*</w:t>
            </w:r>
          </w:p>
        </w:tc>
        <w:tc>
          <w:tcPr>
            <w:tcW w:w="5135" w:type="dxa"/>
            <w:gridSpan w:val="10"/>
            <w:tcBorders>
              <w:top w:val="single" w:sz="6" w:space="0" w:color="auto"/>
              <w:left w:val="single" w:sz="6" w:space="0" w:color="auto"/>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u w:val="double"/>
              </w:rPr>
            </w:pPr>
            <w:r>
              <w:rPr>
                <w:rFonts w:ascii="Times New Roman" w:hAnsi="Times New Roman" w:cs="Times New Roman"/>
                <w:color w:val="000000"/>
                <w:sz w:val="18"/>
                <w:szCs w:val="18"/>
              </w:rPr>
              <w:t>*The difference in total cost is due to rounding off.</w:t>
            </w:r>
          </w:p>
        </w:tc>
      </w:tr>
    </w:tbl>
    <w:p w:rsidR="00821277" w:rsidRDefault="00821277" w:rsidP="00821277"/>
    <w:p w:rsidR="00821277" w:rsidRDefault="00821277" w:rsidP="00821277"/>
    <w:p w:rsidR="00821277" w:rsidRDefault="00821277" w:rsidP="008212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t xml:space="preserve">2.  </w:t>
      </w:r>
      <w:proofErr w:type="gramStart"/>
      <w:r>
        <w:rPr>
          <w:rFonts w:ascii="Times New Roman" w:hAnsi="Times New Roman" w:cs="Times New Roman"/>
          <w:color w:val="000000"/>
        </w:rPr>
        <w:t>n'2</w:t>
      </w:r>
      <w:proofErr w:type="gramEnd"/>
      <w:r>
        <w:rPr>
          <w:rFonts w:ascii="Times New Roman" w:hAnsi="Times New Roman" w:cs="Times New Roman"/>
          <w:color w:val="000000"/>
        </w:rPr>
        <w:t>.  Plastics, Inc</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manufactures a line of office desk accessories. The company's newest and most popular product is a plastic paper holder for holding the paper up while working at the computer. Production began on February 1, 20xx. Plastic is poured into molds to form the product, and the entire process takes place in the Molding Department. After the liquid plastic is poured (signifying the beginning of the process), the molds must be cooled slowly before the paper holder is separated from the mold. Statistics for 20xx are shown below.</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Ind w:w="13" w:type="dxa"/>
        <w:tblCellMar>
          <w:left w:w="0" w:type="dxa"/>
          <w:right w:w="0" w:type="dxa"/>
        </w:tblCellMar>
        <w:tblLook w:val="0000"/>
      </w:tblPr>
      <w:tblGrid>
        <w:gridCol w:w="4237"/>
        <w:gridCol w:w="1984"/>
      </w:tblGrid>
      <w:tr w:rsidR="00821277" w:rsidTr="00366891">
        <w:tc>
          <w:tcPr>
            <w:tcW w:w="4237" w:type="dxa"/>
            <w:tcBorders>
              <w:top w:val="single" w:sz="6" w:space="0" w:color="auto"/>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Beginning inventory</w:t>
            </w:r>
          </w:p>
        </w:tc>
        <w:tc>
          <w:tcPr>
            <w:tcW w:w="1984" w:type="dxa"/>
            <w:tcBorders>
              <w:top w:val="single" w:sz="6" w:space="0" w:color="auto"/>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r w:rsidR="00821277" w:rsidTr="00366891">
        <w:tc>
          <w:tcPr>
            <w:tcW w:w="4237"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started</w:t>
            </w:r>
          </w:p>
        </w:tc>
        <w:tc>
          <w:tcPr>
            <w:tcW w:w="198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77,000</w:t>
            </w:r>
          </w:p>
        </w:tc>
      </w:tr>
      <w:tr w:rsidR="00821277" w:rsidTr="00366891">
        <w:tc>
          <w:tcPr>
            <w:tcW w:w="4237"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Costs: Direct materials costs</w:t>
            </w:r>
          </w:p>
        </w:tc>
        <w:tc>
          <w:tcPr>
            <w:tcW w:w="198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$246,400</w:t>
            </w:r>
          </w:p>
        </w:tc>
      </w:tr>
      <w:tr w:rsidR="00821277" w:rsidTr="00366891">
        <w:tc>
          <w:tcPr>
            <w:tcW w:w="4237" w:type="dxa"/>
            <w:tcBorders>
              <w:top w:val="nil"/>
              <w:left w:val="single" w:sz="6" w:space="0" w:color="auto"/>
              <w:bottom w:val="nil"/>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Conversion costs</w:t>
            </w:r>
          </w:p>
        </w:tc>
        <w:tc>
          <w:tcPr>
            <w:tcW w:w="1984" w:type="dxa"/>
            <w:tcBorders>
              <w:top w:val="nil"/>
              <w:left w:val="nil"/>
              <w:bottom w:val="nil"/>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$334,840</w:t>
            </w:r>
          </w:p>
        </w:tc>
      </w:tr>
      <w:tr w:rsidR="00821277" w:rsidTr="00366891">
        <w:tc>
          <w:tcPr>
            <w:tcW w:w="4237" w:type="dxa"/>
            <w:tcBorders>
              <w:top w:val="nil"/>
              <w:left w:val="single" w:sz="6" w:space="0" w:color="auto"/>
              <w:bottom w:val="single" w:sz="6" w:space="0" w:color="auto"/>
              <w:right w:val="nil"/>
            </w:tcBorders>
          </w:tcPr>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 completed and transferred to the</w:t>
            </w:r>
          </w:p>
          <w:p w:rsidR="00821277" w:rsidRDefault="00821277" w:rsidP="0036689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Packaging Department</w:t>
            </w:r>
          </w:p>
        </w:tc>
        <w:tc>
          <w:tcPr>
            <w:tcW w:w="1984" w:type="dxa"/>
            <w:tcBorders>
              <w:top w:val="nil"/>
              <w:left w:val="nil"/>
              <w:bottom w:val="single" w:sz="6" w:space="0" w:color="auto"/>
              <w:right w:val="single" w:sz="6" w:space="0" w:color="auto"/>
            </w:tcBorders>
          </w:tcPr>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p>
          <w:p w:rsidR="00821277" w:rsidRDefault="00821277" w:rsidP="00366891">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72,500</w:t>
            </w:r>
          </w:p>
        </w:tc>
      </w:tr>
    </w:tbl>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Ending work in process inventory: All direct materials were added at the beginning of the process, and the average stage of completion of these units as to conversion costs is 80 percent.</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units were lost or spoiled during the year.</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Prepare</w:t>
      </w:r>
      <w:proofErr w:type="gramEnd"/>
      <w:r>
        <w:rPr>
          <w:rFonts w:ascii="Times New Roman" w:hAnsi="Times New Roman" w:cs="Times New Roman"/>
          <w:color w:val="000000"/>
        </w:rPr>
        <w:t xml:space="preserve"> a process cost report using the FIFO costing method for the Molding Department using five steps. Include T accounts to recap both costs and units for the Work in Process Inventory account.</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  Identify</w:t>
      </w:r>
      <w:proofErr w:type="gramEnd"/>
      <w:r>
        <w:rPr>
          <w:rFonts w:ascii="Times New Roman" w:hAnsi="Times New Roman" w:cs="Times New Roman"/>
          <w:color w:val="000000"/>
        </w:rPr>
        <w:t xml:space="preserve"> the amount to be transferred out of Work in Process Inventory and prepare the necessary entry in journal form to do so.</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116"/>
        <w:gridCol w:w="356"/>
        <w:gridCol w:w="218"/>
        <w:gridCol w:w="658"/>
        <w:gridCol w:w="360"/>
        <w:gridCol w:w="771"/>
        <w:gridCol w:w="351"/>
        <w:gridCol w:w="264"/>
        <w:gridCol w:w="699"/>
        <w:gridCol w:w="279"/>
        <w:gridCol w:w="81"/>
        <w:gridCol w:w="756"/>
      </w:tblGrid>
      <w:tr w:rsidR="005012FB" w:rsidTr="005012FB">
        <w:trPr>
          <w:trHeight w:val="665"/>
        </w:trPr>
        <w:tc>
          <w:tcPr>
            <w:tcW w:w="8029" w:type="dxa"/>
            <w:gridSpan w:val="13"/>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Plastics Inc.</w:t>
            </w:r>
          </w:p>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Process Cost Report (FIFO)</w:t>
            </w: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7F7F7F"/>
            <w:noWrap/>
            <w:hideMark/>
          </w:tcPr>
          <w:p w:rsidR="005012FB" w:rsidRDefault="005012FB">
            <w:pPr>
              <w:spacing w:after="0" w:line="240" w:lineRule="auto"/>
            </w:pPr>
          </w:p>
        </w:tc>
        <w:tc>
          <w:tcPr>
            <w:tcW w:w="1116"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Physical</w:t>
            </w:r>
            <w:r>
              <w:rPr>
                <w:rFonts w:ascii="Times New Roman" w:hAnsi="Times New Roman"/>
                <w:color w:val="000000"/>
              </w:rPr>
              <w:br/>
              <w:t>Units</w:t>
            </w:r>
          </w:p>
        </w:tc>
        <w:tc>
          <w:tcPr>
            <w:tcW w:w="4793" w:type="dxa"/>
            <w:gridSpan w:val="11"/>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Equivalent Units</w:t>
            </w:r>
          </w:p>
        </w:tc>
      </w:tr>
      <w:tr w:rsidR="005012FB" w:rsidTr="005012FB">
        <w:trPr>
          <w:trHeight w:val="285"/>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Beginning Inventory</w:t>
            </w:r>
          </w:p>
        </w:tc>
        <w:tc>
          <w:tcPr>
            <w:tcW w:w="11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1592" w:type="dxa"/>
            <w:gridSpan w:val="4"/>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Direct</w:t>
            </w:r>
            <w:r>
              <w:rPr>
                <w:rFonts w:ascii="Times New Roman" w:hAnsi="Times New Roman"/>
                <w:color w:val="000000"/>
              </w:rPr>
              <w:br/>
              <w:t>Materials</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593" w:type="dxa"/>
            <w:gridSpan w:val="4"/>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Conversion</w:t>
            </w:r>
            <w:r>
              <w:rPr>
                <w:rFonts w:ascii="Times New Roman" w:hAnsi="Times New Roman"/>
                <w:color w:val="000000"/>
              </w:rPr>
              <w:br/>
              <w:t>Costs</w:t>
            </w:r>
          </w:p>
        </w:tc>
        <w:tc>
          <w:tcPr>
            <w:tcW w:w="837" w:type="dxa"/>
            <w:gridSpan w:val="2"/>
            <w:vMerge w:val="restar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5012FB" w:rsidTr="005012FB">
        <w:trPr>
          <w:trHeight w:val="285"/>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Units to be accounted for</w:t>
            </w:r>
          </w:p>
        </w:tc>
        <w:tc>
          <w:tcPr>
            <w:tcW w:w="11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12FB" w:rsidRDefault="005012FB">
            <w:pPr>
              <w:spacing w:after="0" w:line="240" w:lineRule="auto"/>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2FB" w:rsidRDefault="005012FB">
            <w:pPr>
              <w:spacing w:after="0" w:line="240" w:lineRule="auto"/>
              <w:rPr>
                <w:rFonts w:ascii="Times New Roman" w:hAnsi="Times New Roman"/>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12FB" w:rsidRDefault="005012FB">
            <w:pPr>
              <w:spacing w:after="0" w:line="240" w:lineRule="auto"/>
              <w:rPr>
                <w:rFonts w:ascii="Times New Roman" w:hAnsi="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2FB" w:rsidRDefault="005012FB">
            <w:pPr>
              <w:spacing w:after="0" w:line="240" w:lineRule="auto"/>
              <w:rPr>
                <w:rFonts w:ascii="Times New Roman" w:hAnsi="Times New Roman"/>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Units completed and transferred out</w:t>
            </w:r>
          </w:p>
        </w:tc>
        <w:tc>
          <w:tcPr>
            <w:tcW w:w="11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159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1593"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Ending Inventory</w:t>
            </w:r>
          </w:p>
        </w:tc>
        <w:tc>
          <w:tcPr>
            <w:tcW w:w="11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159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1593"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r>
      <w:tr w:rsidR="005012FB" w:rsidTr="005012FB">
        <w:trPr>
          <w:trHeight w:val="440"/>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Units accounted for</w:t>
            </w:r>
          </w:p>
        </w:tc>
        <w:tc>
          <w:tcPr>
            <w:tcW w:w="1116" w:type="dxa"/>
            <w:tcBorders>
              <w:top w:val="single" w:sz="4" w:space="0" w:color="auto"/>
              <w:left w:val="single" w:sz="4" w:space="0" w:color="auto"/>
              <w:bottom w:val="single" w:sz="4" w:space="0" w:color="auto"/>
              <w:right w:val="single" w:sz="4" w:space="0" w:color="auto"/>
            </w:tcBorders>
            <w:shd w:val="clear" w:color="auto" w:fill="7F7F7F"/>
            <w:noWrap/>
            <w:hideMark/>
          </w:tcPr>
          <w:p w:rsidR="005012FB" w:rsidRDefault="005012FB">
            <w:pPr>
              <w:spacing w:after="0" w:line="240" w:lineRule="auto"/>
            </w:pPr>
          </w:p>
        </w:tc>
        <w:tc>
          <w:tcPr>
            <w:tcW w:w="159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rsidR="005012FB" w:rsidRDefault="005012FB">
            <w:pPr>
              <w:spacing w:after="0" w:line="240" w:lineRule="auto"/>
            </w:pPr>
          </w:p>
        </w:tc>
        <w:tc>
          <w:tcPr>
            <w:tcW w:w="1593"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rsidR="005012FB" w:rsidRDefault="005012FB">
            <w:pPr>
              <w:spacing w:after="0" w:line="240" w:lineRule="auto"/>
            </w:pPr>
          </w:p>
        </w:tc>
      </w:tr>
      <w:tr w:rsidR="005012FB" w:rsidTr="005012FB">
        <w:trPr>
          <w:trHeight w:val="576"/>
        </w:trPr>
        <w:tc>
          <w:tcPr>
            <w:tcW w:w="2120" w:type="dxa"/>
            <w:tcBorders>
              <w:top w:val="single" w:sz="4" w:space="0" w:color="auto"/>
              <w:left w:val="single" w:sz="4" w:space="0" w:color="auto"/>
              <w:bottom w:val="single" w:sz="4" w:space="0" w:color="auto"/>
              <w:right w:val="single" w:sz="4" w:space="0" w:color="auto"/>
            </w:tcBorders>
            <w:shd w:val="clear" w:color="auto" w:fill="7F7F7F"/>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w:t>
            </w:r>
          </w:p>
        </w:tc>
        <w:tc>
          <w:tcPr>
            <w:tcW w:w="1116" w:type="dxa"/>
            <w:tcBorders>
              <w:top w:val="single" w:sz="4" w:space="0" w:color="auto"/>
              <w:left w:val="single" w:sz="4" w:space="0" w:color="auto"/>
              <w:bottom w:val="single" w:sz="4" w:space="0" w:color="auto"/>
              <w:right w:val="single" w:sz="4" w:space="0" w:color="auto"/>
            </w:tcBorders>
            <w:shd w:val="clear" w:color="auto" w:fill="B8CCE4"/>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Total</w:t>
            </w:r>
            <w:r>
              <w:rPr>
                <w:rFonts w:ascii="Times New Roman" w:hAnsi="Times New Roman"/>
                <w:color w:val="000000"/>
              </w:rPr>
              <w:br/>
              <w:t>Costs</w:t>
            </w:r>
          </w:p>
        </w:tc>
        <w:tc>
          <w:tcPr>
            <w:tcW w:w="2363" w:type="dxa"/>
            <w:gridSpan w:val="5"/>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Direct Materials</w:t>
            </w:r>
          </w:p>
        </w:tc>
        <w:tc>
          <w:tcPr>
            <w:tcW w:w="2430" w:type="dxa"/>
            <w:gridSpan w:val="6"/>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Conversion Costs</w:t>
            </w: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Beginning Inventory</w:t>
            </w:r>
          </w:p>
        </w:tc>
        <w:tc>
          <w:tcPr>
            <w:tcW w:w="1116" w:type="dxa"/>
            <w:tcBorders>
              <w:top w:val="single" w:sz="4" w:space="0" w:color="auto"/>
              <w:left w:val="single" w:sz="4" w:space="0" w:color="auto"/>
              <w:bottom w:val="single" w:sz="4" w:space="0" w:color="auto"/>
              <w:right w:val="single" w:sz="4" w:space="0" w:color="auto"/>
            </w:tcBorders>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7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81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Current Costs</w:t>
            </w:r>
          </w:p>
        </w:tc>
        <w:tc>
          <w:tcPr>
            <w:tcW w:w="1116" w:type="dxa"/>
            <w:tcBorders>
              <w:top w:val="single" w:sz="4" w:space="0" w:color="auto"/>
              <w:left w:val="single" w:sz="4" w:space="0" w:color="auto"/>
              <w:bottom w:val="single" w:sz="4" w:space="0" w:color="auto"/>
              <w:right w:val="single" w:sz="4" w:space="0" w:color="auto"/>
            </w:tcBorders>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789" w:type="dxa"/>
            <w:gridSpan w:val="3"/>
            <w:tcBorders>
              <w:top w:val="single" w:sz="4" w:space="0" w:color="auto"/>
              <w:left w:val="single" w:sz="4" w:space="0" w:color="auto"/>
              <w:bottom w:val="single" w:sz="4" w:space="0" w:color="auto"/>
              <w:right w:val="single" w:sz="4" w:space="0" w:color="auto"/>
            </w:tcBorders>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815" w:type="dxa"/>
            <w:gridSpan w:val="4"/>
            <w:tcBorders>
              <w:top w:val="single" w:sz="4" w:space="0" w:color="auto"/>
              <w:left w:val="single" w:sz="4" w:space="0" w:color="auto"/>
              <w:bottom w:val="single" w:sz="4" w:space="0" w:color="auto"/>
              <w:right w:val="single" w:sz="4" w:space="0" w:color="auto"/>
            </w:tcBorders>
            <w:hideMark/>
          </w:tcPr>
          <w:p w:rsidR="005012FB" w:rsidRDefault="005012FB" w:rsidP="005012FB">
            <w:pPr>
              <w:keepLines/>
              <w:suppressAutoHyphens/>
              <w:autoSpaceDE w:val="0"/>
              <w:autoSpaceDN w:val="0"/>
              <w:adjustRightInd w:val="0"/>
              <w:spacing w:after="0" w:line="240" w:lineRule="auto"/>
              <w:rPr>
                <w:rFonts w:ascii="Times New Roman" w:hAnsi="Times New Roman"/>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B8CCE4"/>
            <w:noWrap/>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r>
              <w:rPr>
                <w:rFonts w:ascii="Times New Roman" w:hAnsi="Times New Roman"/>
                <w:b/>
                <w:color w:val="000000"/>
              </w:rPr>
              <w:t>Total costs</w:t>
            </w:r>
          </w:p>
        </w:tc>
        <w:tc>
          <w:tcPr>
            <w:tcW w:w="1116" w:type="dxa"/>
            <w:tcBorders>
              <w:top w:val="single" w:sz="4" w:space="0" w:color="auto"/>
              <w:left w:val="single" w:sz="4" w:space="0" w:color="auto"/>
              <w:bottom w:val="single" w:sz="4" w:space="0" w:color="auto"/>
              <w:right w:val="single" w:sz="4" w:space="0" w:color="auto"/>
            </w:tcBorders>
            <w:noWrap/>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789" w:type="dxa"/>
            <w:gridSpan w:val="3"/>
            <w:tcBorders>
              <w:top w:val="single" w:sz="4" w:space="0" w:color="auto"/>
              <w:left w:val="single" w:sz="4" w:space="0" w:color="auto"/>
              <w:bottom w:val="single" w:sz="4" w:space="0" w:color="auto"/>
              <w:right w:val="single" w:sz="4" w:space="0" w:color="auto"/>
            </w:tcBorders>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815" w:type="dxa"/>
            <w:gridSpan w:val="4"/>
            <w:tcBorders>
              <w:top w:val="single" w:sz="4" w:space="0" w:color="auto"/>
              <w:left w:val="single" w:sz="4" w:space="0" w:color="auto"/>
              <w:bottom w:val="single" w:sz="4" w:space="0" w:color="auto"/>
              <w:right w:val="single" w:sz="4" w:space="0" w:color="auto"/>
            </w:tcBorders>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D9D9D9"/>
            <w:noWrap/>
            <w:hideMark/>
          </w:tcPr>
          <w:p w:rsidR="005012FB" w:rsidRDefault="005012FB">
            <w:pPr>
              <w:keepLines/>
              <w:suppressAutoHyphens/>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hAnsi="Times New Roman"/>
                <w:color w:val="000000"/>
                <w:u w:val="single"/>
              </w:rPr>
              <w:t>Current Costs</w:t>
            </w:r>
          </w:p>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Equivalent Units</w:t>
            </w:r>
          </w:p>
        </w:tc>
        <w:tc>
          <w:tcPr>
            <w:tcW w:w="1116" w:type="dxa"/>
            <w:tcBorders>
              <w:top w:val="single" w:sz="4" w:space="0" w:color="auto"/>
              <w:left w:val="single" w:sz="4" w:space="0" w:color="auto"/>
              <w:bottom w:val="single" w:sz="4" w:space="0" w:color="auto"/>
              <w:right w:val="single" w:sz="4" w:space="0" w:color="auto"/>
            </w:tcBorders>
            <w:shd w:val="clear" w:color="auto" w:fill="D9D9D9"/>
            <w:noWrap/>
            <w:hideMark/>
          </w:tcPr>
          <w:p w:rsidR="005012FB" w:rsidRDefault="005012FB">
            <w:pPr>
              <w:spacing w:after="0" w:line="240" w:lineRule="auto"/>
            </w:pPr>
          </w:p>
        </w:tc>
        <w:tc>
          <w:tcPr>
            <w:tcW w:w="2363" w:type="dxa"/>
            <w:gridSpan w:val="5"/>
            <w:tcBorders>
              <w:top w:val="single" w:sz="4" w:space="0" w:color="auto"/>
              <w:left w:val="single" w:sz="4" w:space="0" w:color="auto"/>
              <w:bottom w:val="single" w:sz="4" w:space="0" w:color="auto"/>
              <w:right w:val="single" w:sz="4" w:space="0" w:color="auto"/>
            </w:tcBorders>
            <w:shd w:val="clear" w:color="auto" w:fill="D9D9D9"/>
            <w:noWrap/>
            <w:hideMark/>
          </w:tcPr>
          <w:p w:rsidR="005012FB" w:rsidRDefault="005012FB" w:rsidP="005012FB">
            <w:pPr>
              <w:keepLines/>
              <w:suppressAutoHyphens/>
              <w:autoSpaceDE w:val="0"/>
              <w:autoSpaceDN w:val="0"/>
              <w:adjustRightInd w:val="0"/>
              <w:spacing w:after="0" w:line="240" w:lineRule="auto"/>
              <w:jc w:val="center"/>
              <w:rPr>
                <w:rFonts w:ascii="Times New Roman" w:hAnsi="Times New Roman"/>
                <w:color w:val="000000"/>
                <w:u w:val="single"/>
              </w:rPr>
            </w:pPr>
          </w:p>
        </w:tc>
        <w:tc>
          <w:tcPr>
            <w:tcW w:w="2430" w:type="dxa"/>
            <w:gridSpan w:val="6"/>
            <w:tcBorders>
              <w:top w:val="single" w:sz="4" w:space="0" w:color="auto"/>
              <w:left w:val="single" w:sz="4" w:space="0" w:color="auto"/>
              <w:bottom w:val="single" w:sz="4" w:space="0" w:color="auto"/>
              <w:right w:val="single" w:sz="4" w:space="0" w:color="auto"/>
            </w:tcBorders>
            <w:shd w:val="clear" w:color="auto" w:fill="D9D9D9"/>
            <w:noWrap/>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r>
      <w:tr w:rsidR="005012FB" w:rsidTr="005012FB">
        <w:trPr>
          <w:trHeight w:val="576"/>
        </w:trPr>
        <w:tc>
          <w:tcPr>
            <w:tcW w:w="2120" w:type="dxa"/>
            <w:tcBorders>
              <w:top w:val="single" w:sz="4" w:space="0" w:color="auto"/>
              <w:left w:val="single" w:sz="4" w:space="0" w:color="auto"/>
              <w:bottom w:val="single" w:sz="4" w:space="0" w:color="auto"/>
              <w:right w:val="single" w:sz="4" w:space="0" w:color="auto"/>
            </w:tcBorders>
            <w:shd w:val="clear" w:color="auto" w:fill="B8CCE4"/>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Costs per equivalent</w:t>
            </w:r>
            <w:r>
              <w:rPr>
                <w:rFonts w:ascii="Times New Roman" w:hAnsi="Times New Roman"/>
                <w:color w:val="000000"/>
              </w:rPr>
              <w:br/>
              <w:t>unit</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789" w:type="dxa"/>
            <w:gridSpan w:val="3"/>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815" w:type="dxa"/>
            <w:gridSpan w:val="4"/>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Units Completed and transferred out</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5012FB" w:rsidRDefault="005012FB" w:rsidP="005012FB">
            <w:pPr>
              <w:keepLines/>
              <w:suppressAutoHyphens/>
              <w:autoSpaceDE w:val="0"/>
              <w:autoSpaceDN w:val="0"/>
              <w:adjustRightInd w:val="0"/>
              <w:spacing w:after="0" w:line="240" w:lineRule="auto"/>
              <w:jc w:val="center"/>
              <w:rPr>
                <w:rFonts w:ascii="Times New Roman" w:hAnsi="Times New Roman"/>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x</w:t>
            </w:r>
          </w:p>
        </w:tc>
        <w:tc>
          <w:tcPr>
            <w:tcW w:w="771" w:type="dxa"/>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x</w:t>
            </w:r>
          </w:p>
        </w:tc>
        <w:tc>
          <w:tcPr>
            <w:tcW w:w="756" w:type="dxa"/>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Ending Inventory</w:t>
            </w:r>
          </w:p>
        </w:tc>
        <w:tc>
          <w:tcPr>
            <w:tcW w:w="1116" w:type="dxa"/>
            <w:tcBorders>
              <w:top w:val="single" w:sz="4" w:space="0" w:color="auto"/>
              <w:left w:val="single" w:sz="4" w:space="0" w:color="auto"/>
              <w:bottom w:val="single" w:sz="4" w:space="0" w:color="auto"/>
              <w:right w:val="single" w:sz="4" w:space="0" w:color="auto"/>
            </w:tcBorders>
            <w:noWrap/>
            <w:hideMark/>
          </w:tcPr>
          <w:p w:rsidR="005012FB" w:rsidRDefault="005012FB">
            <w:pPr>
              <w:keepLines/>
              <w:suppressAutoHyphens/>
              <w:autoSpaceDE w:val="0"/>
              <w:autoSpaceDN w:val="0"/>
              <w:adjustRightInd w:val="0"/>
              <w:spacing w:after="0" w:line="240" w:lineRule="auto"/>
              <w:rPr>
                <w:rFonts w:ascii="Times New Roman" w:hAnsi="Times New Roman"/>
                <w:color w:val="000000"/>
              </w:rPr>
            </w:pPr>
          </w:p>
        </w:tc>
        <w:tc>
          <w:tcPr>
            <w:tcW w:w="3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x</w:t>
            </w:r>
          </w:p>
        </w:tc>
        <w:tc>
          <w:tcPr>
            <w:tcW w:w="771" w:type="dxa"/>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x</w:t>
            </w:r>
          </w:p>
        </w:tc>
        <w:tc>
          <w:tcPr>
            <w:tcW w:w="756" w:type="dxa"/>
            <w:tcBorders>
              <w:top w:val="single" w:sz="4" w:space="0" w:color="auto"/>
              <w:left w:val="single" w:sz="4" w:space="0" w:color="auto"/>
              <w:bottom w:val="single" w:sz="4" w:space="0" w:color="auto"/>
              <w:right w:val="single" w:sz="4" w:space="0" w:color="auto"/>
            </w:tcBorders>
            <w:vAlign w:val="center"/>
            <w:hideMark/>
          </w:tcPr>
          <w:p w:rsidR="005012FB" w:rsidRDefault="005012FB">
            <w:pPr>
              <w:keepLines/>
              <w:suppressAutoHyphens/>
              <w:autoSpaceDE w:val="0"/>
              <w:autoSpaceDN w:val="0"/>
              <w:adjustRightInd w:val="0"/>
              <w:spacing w:after="0" w:line="240" w:lineRule="auto"/>
              <w:jc w:val="center"/>
              <w:rPr>
                <w:rFonts w:ascii="Times New Roman" w:hAnsi="Times New Roman"/>
                <w:color w:val="000000"/>
              </w:rPr>
            </w:pPr>
          </w:p>
        </w:tc>
      </w:tr>
      <w:tr w:rsidR="005012FB" w:rsidTr="005012FB">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C6D9F1"/>
            <w:noWrap/>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r>
              <w:rPr>
                <w:rFonts w:ascii="Times New Roman" w:hAnsi="Times New Roman"/>
                <w:b/>
                <w:color w:val="000000"/>
              </w:rPr>
              <w:t>Total Costs</w:t>
            </w:r>
          </w:p>
        </w:tc>
        <w:tc>
          <w:tcPr>
            <w:tcW w:w="1116" w:type="dxa"/>
            <w:tcBorders>
              <w:top w:val="single" w:sz="4" w:space="0" w:color="auto"/>
              <w:left w:val="single" w:sz="4" w:space="0" w:color="auto"/>
              <w:bottom w:val="single" w:sz="4" w:space="0" w:color="auto"/>
              <w:right w:val="single" w:sz="4" w:space="0" w:color="auto"/>
            </w:tcBorders>
            <w:noWrap/>
            <w:hideMark/>
          </w:tcPr>
          <w:p w:rsidR="005012FB" w:rsidRDefault="005012FB">
            <w:pPr>
              <w:keepLines/>
              <w:suppressAutoHyphens/>
              <w:autoSpaceDE w:val="0"/>
              <w:autoSpaceDN w:val="0"/>
              <w:adjustRightInd w:val="0"/>
              <w:spacing w:after="0" w:line="240" w:lineRule="auto"/>
              <w:rPr>
                <w:rFonts w:ascii="Times New Roman" w:hAnsi="Times New Roman"/>
                <w:b/>
                <w:color w:val="000000"/>
              </w:rPr>
            </w:pPr>
          </w:p>
        </w:tc>
        <w:tc>
          <w:tcPr>
            <w:tcW w:w="4793" w:type="dxa"/>
            <w:gridSpan w:val="11"/>
            <w:tcBorders>
              <w:top w:val="single" w:sz="4" w:space="0" w:color="auto"/>
              <w:left w:val="single" w:sz="4" w:space="0" w:color="auto"/>
              <w:bottom w:val="single" w:sz="4" w:space="0" w:color="auto"/>
              <w:right w:val="single" w:sz="4" w:space="0" w:color="auto"/>
            </w:tcBorders>
            <w:shd w:val="clear" w:color="auto" w:fill="7F7F7F"/>
            <w:noWrap/>
            <w:hideMark/>
          </w:tcPr>
          <w:p w:rsidR="005012FB" w:rsidRDefault="005012FB">
            <w:pPr>
              <w:spacing w:after="0" w:line="240" w:lineRule="auto"/>
            </w:pPr>
          </w:p>
        </w:tc>
      </w:tr>
    </w:tbl>
    <w:p w:rsidR="005012FB" w:rsidRDefault="005012FB" w:rsidP="00821277">
      <w:pPr>
        <w:keepLines/>
        <w:suppressAutoHyphens/>
        <w:autoSpaceDE w:val="0"/>
        <w:autoSpaceDN w:val="0"/>
        <w:adjustRightInd w:val="0"/>
        <w:spacing w:after="0" w:line="240" w:lineRule="auto"/>
        <w:rPr>
          <w:rFonts w:ascii="Times New Roman" w:hAnsi="Times New Roman" w:cs="Times New Roman"/>
          <w:color w:val="000000"/>
        </w:rPr>
      </w:pP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sz w:val="2"/>
          <w:szCs w:val="2"/>
        </w:rPr>
        <w:drawing>
          <wp:inline distT="0" distB="0" distL="0" distR="0">
            <wp:extent cx="4867275" cy="962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867275" cy="962025"/>
                    </a:xfrm>
                    <a:prstGeom prst="rect">
                      <a:avLst/>
                    </a:prstGeom>
                    <a:noFill/>
                    <a:ln w="9525">
                      <a:noFill/>
                      <a:miter lim="800000"/>
                      <a:headEnd/>
                      <a:tailEnd/>
                    </a:ln>
                  </pic:spPr>
                </pic:pic>
              </a:graphicData>
            </a:graphic>
          </wp:inline>
        </w:drawing>
      </w:r>
    </w:p>
    <w:p w:rsidR="00821277" w:rsidRDefault="00821277" w:rsidP="008212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01552A" w:rsidRDefault="00821277" w:rsidP="00821277">
      <w:r>
        <w:rPr>
          <w:rFonts w:ascii="Times New Roman" w:hAnsi="Times New Roman" w:cs="Times New Roman"/>
          <w:color w:val="000000"/>
        </w:rPr>
        <w:t>b. Transfer $_________ to __________ and prepare the necessary journal entry in good form to make the transfer</w:t>
      </w:r>
    </w:p>
    <w:sectPr w:rsidR="0001552A" w:rsidSect="00015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21277"/>
    <w:rsid w:val="0001552A"/>
    <w:rsid w:val="00344D4C"/>
    <w:rsid w:val="003D358D"/>
    <w:rsid w:val="00431793"/>
    <w:rsid w:val="005012FB"/>
    <w:rsid w:val="00821277"/>
    <w:rsid w:val="00A30882"/>
    <w:rsid w:val="00A9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7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4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flasher</dc:creator>
  <cp:lastModifiedBy>Hallberg</cp:lastModifiedBy>
  <cp:revision>2</cp:revision>
  <dcterms:created xsi:type="dcterms:W3CDTF">2012-03-04T17:36:00Z</dcterms:created>
  <dcterms:modified xsi:type="dcterms:W3CDTF">2012-03-04T17:36:00Z</dcterms:modified>
</cp:coreProperties>
</file>