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D2" w:rsidRPr="00442DD2" w:rsidRDefault="009E339C" w:rsidP="00442DD2">
      <w:pPr>
        <w:rPr>
          <w:b/>
          <w:bCs/>
        </w:rPr>
      </w:pPr>
      <w:r>
        <w:rPr>
          <w:b/>
          <w:bCs/>
        </w:rPr>
        <w:t>Final Exam Case: Topeka Adhesives</w:t>
      </w:r>
      <w:r w:rsidR="00442DD2" w:rsidRPr="00442DD2">
        <w:rPr>
          <w:b/>
          <w:bCs/>
        </w:rPr>
        <w:t>: Financial Forecasting</w:t>
      </w:r>
    </w:p>
    <w:p w:rsidR="00442DD2" w:rsidRPr="00442DD2" w:rsidRDefault="00442DD2" w:rsidP="00442DD2">
      <w:pPr>
        <w:rPr>
          <w:b/>
          <w:bCs/>
        </w:rPr>
      </w:pPr>
    </w:p>
    <w:p w:rsidR="00442DD2" w:rsidRPr="00442DD2" w:rsidRDefault="00442DD2" w:rsidP="00442DD2">
      <w:pPr>
        <w:spacing w:line="360" w:lineRule="auto"/>
      </w:pPr>
      <w:r w:rsidRPr="00442DD2">
        <w:t xml:space="preserve">Karen and Elizabeth Whatley are twins. Their mother teaches Physics at a mid-western university and their father runs a successful engineering firm. Not surprisingly, they are quite gifted at math and science, and they've displayed these talents in numerous ways over the years. For example, they have won a number of state science </w:t>
      </w:r>
      <w:r w:rsidR="00ED67AD" w:rsidRPr="00442DD2">
        <w:t>fairs;</w:t>
      </w:r>
      <w:r w:rsidRPr="00442DD2">
        <w:t xml:space="preserve"> achieved near-perfect math SAT scores, and graduated Summa Cum Laude with Chemistry degrees from California Institute of Technology. After graduating college they took jobs with a major chemical company, though their long-term goal was to open their own firm. The Whatleys completed a number of evening courses to increase their business skills. In their spare time the sisters loved to experiment and developed two relatively low-cost adhesives: </w:t>
      </w:r>
      <w:r w:rsidR="00ED67AD" w:rsidRPr="00442DD2">
        <w:t>glue</w:t>
      </w:r>
      <w:r w:rsidR="00ED67AD">
        <w:t xml:space="preserve"> and</w:t>
      </w:r>
      <w:r w:rsidRPr="00442DD2">
        <w:t xml:space="preserve"> tape.</w:t>
      </w:r>
      <w:r>
        <w:t xml:space="preserve">  </w:t>
      </w:r>
      <w:r w:rsidRPr="00442DD2">
        <w:t>They fulfilled a dream seven years ago when—with modest capital but contracts with a number of regional building supply stores—they formed Topeka Adhesives. The firm's products were top-notch and the company finished in the black its very first year, although the sisters were not entirely comfortable with the financial side of the business.</w:t>
      </w:r>
    </w:p>
    <w:p w:rsidR="00442DD2" w:rsidRPr="00442DD2" w:rsidRDefault="00442DD2" w:rsidP="00442DD2">
      <w:pPr>
        <w:spacing w:line="360" w:lineRule="auto"/>
      </w:pPr>
    </w:p>
    <w:p w:rsidR="00442DD2" w:rsidRPr="00442DD2" w:rsidRDefault="00442DD2" w:rsidP="00442DD2">
      <w:pPr>
        <w:spacing w:line="360" w:lineRule="auto"/>
        <w:rPr>
          <w:b/>
          <w:bCs/>
        </w:rPr>
      </w:pPr>
      <w:r w:rsidRPr="00442DD2">
        <w:rPr>
          <w:b/>
          <w:bCs/>
        </w:rPr>
        <w:t>A Marketing Decision</w:t>
      </w:r>
    </w:p>
    <w:p w:rsidR="00442DD2" w:rsidRPr="00442DD2" w:rsidRDefault="00442DD2" w:rsidP="00442DD2">
      <w:pPr>
        <w:spacing w:line="360" w:lineRule="auto"/>
      </w:pPr>
      <w:r w:rsidRPr="00442DD2">
        <w:t>About 12 months ago the partners concluded that Topeka's products were “underappreciated” and that “sales could—and should—be substantially higher.” They fired an unproductive salesperson and, more importantly, made a key marketing decision. The twins decided to reduce Topeka's advertising in trade journals and use the money saved to attend more trade shows. They reasoned that trade shows are a relatively inexpensive way to display the company's products and are an opportunity to meet major corporate buyers face to face. That is precisely what happened. The firm's exhibits were impressive, and the Whatleys made important contacts with some industrial users and even one national retailer, Spears. The sisters are in the process of negotiating a number of large contracts for the coming year (</w:t>
      </w:r>
      <w:r>
        <w:t>2011</w:t>
      </w:r>
      <w:r w:rsidRPr="00442DD2">
        <w:t>) and product inquiries are markedly higher.</w:t>
      </w:r>
    </w:p>
    <w:p w:rsidR="00442DD2" w:rsidRDefault="00442DD2" w:rsidP="00442DD2">
      <w:pPr>
        <w:spacing w:line="360" w:lineRule="auto"/>
      </w:pPr>
      <w:r w:rsidRPr="00442DD2">
        <w:lastRenderedPageBreak/>
        <w:t xml:space="preserve">As a result of all this, Topeka's sales growth is expected to increase sharply in the next three years, and sales are estimated to more than double by the end of </w:t>
      </w:r>
      <w:r>
        <w:t>2012</w:t>
      </w:r>
      <w:r w:rsidRPr="00442DD2">
        <w:t xml:space="preserve">. The Whatleys predict sales of $1,933,100 in </w:t>
      </w:r>
      <w:r>
        <w:t>2010</w:t>
      </w:r>
      <w:r w:rsidRPr="00442DD2">
        <w:t xml:space="preserve">, $2,609,700 in </w:t>
      </w:r>
      <w:r>
        <w:t>2011</w:t>
      </w:r>
      <w:r w:rsidRPr="00442DD2">
        <w:t xml:space="preserve">, and $3,131,600 in </w:t>
      </w:r>
      <w:r>
        <w:t>2012</w:t>
      </w:r>
      <w:r w:rsidRPr="00442DD2">
        <w:t>. On one hand, the twins are extremely pleased with the forecast because it is evidence of what they have long believed: The company manufactures quality products at a reasonable price. The downside is that such large growth will undoubtedly require external financing and could cause managerial difficulties.</w:t>
      </w:r>
    </w:p>
    <w:p w:rsidR="00442DD2" w:rsidRPr="00442DD2" w:rsidRDefault="00442DD2" w:rsidP="009870EE">
      <w:pPr>
        <w:spacing w:line="360" w:lineRule="auto"/>
        <w:ind w:firstLine="720"/>
      </w:pPr>
      <w:r w:rsidRPr="00442DD2">
        <w:t xml:space="preserve">While the partners will explore a number of financing alternatives, they recognize that the first step is to estimate the external funds needed for the </w:t>
      </w:r>
      <w:r>
        <w:t>2010</w:t>
      </w:r>
      <w:r w:rsidRPr="00442DD2">
        <w:t>–</w:t>
      </w:r>
      <w:r>
        <w:t>2012</w:t>
      </w:r>
      <w:r w:rsidRPr="00442DD2">
        <w:t xml:space="preserve"> period. After all, before they decide on a financing option, they want a reasonable projection of what needs to be raised. And it is even possible that most of the expected growth can be internally financed.</w:t>
      </w:r>
    </w:p>
    <w:p w:rsidR="009870EE" w:rsidRDefault="009870EE" w:rsidP="00BB2A9F">
      <w:pPr>
        <w:spacing w:line="360" w:lineRule="auto"/>
        <w:rPr>
          <w:b/>
          <w:bCs/>
        </w:rPr>
      </w:pPr>
    </w:p>
    <w:p w:rsidR="00442DD2" w:rsidRPr="00442DD2" w:rsidRDefault="00442DD2" w:rsidP="00BB2A9F">
      <w:pPr>
        <w:spacing w:line="360" w:lineRule="auto"/>
        <w:rPr>
          <w:b/>
          <w:bCs/>
        </w:rPr>
      </w:pPr>
      <w:r w:rsidRPr="00442DD2">
        <w:rPr>
          <w:b/>
          <w:bCs/>
        </w:rPr>
        <w:t>Forecasting Considerations</w:t>
      </w:r>
    </w:p>
    <w:p w:rsidR="00442DD2" w:rsidRPr="00442DD2" w:rsidRDefault="00442DD2" w:rsidP="00BB2A9F">
      <w:pPr>
        <w:spacing w:line="360" w:lineRule="auto"/>
      </w:pPr>
      <w:r w:rsidRPr="00442DD2">
        <w:t xml:space="preserve">In order to develop the forecast the partners decided to meet with Fred Lanzi, the firm's accountant, and Karl Shatner, Topeka's general manager. All agree that the sales projections are “quite reasonable” in view of the activity resulting from the trade shows and may even be a bit low. They also decide to concentrate on the </w:t>
      </w:r>
      <w:r w:rsidR="00BB2A9F">
        <w:t>2010</w:t>
      </w:r>
      <w:r w:rsidRPr="00442DD2">
        <w:t xml:space="preserve"> forecast at the initial meeting.</w:t>
      </w:r>
    </w:p>
    <w:p w:rsidR="00442DD2" w:rsidRPr="00442DD2" w:rsidRDefault="00442DD2" w:rsidP="009870EE">
      <w:pPr>
        <w:spacing w:line="360" w:lineRule="auto"/>
        <w:ind w:firstLine="720"/>
      </w:pPr>
      <w:r w:rsidRPr="00442DD2">
        <w:t xml:space="preserve">A few months ago Shatner began implementing a number of cost-cutting measures that are expected to generate a 32 percent gross margin each year of the forecast. Due to economies of scale administrative expenses are expected to increase less than proportionately with sales, and the group estimates a 20 percent increase in </w:t>
      </w:r>
      <w:r w:rsidR="00BB2A9F">
        <w:t>2010</w:t>
      </w:r>
      <w:r w:rsidRPr="00442DD2">
        <w:t>. The relevant tax rate is 40 percent.</w:t>
      </w:r>
    </w:p>
    <w:p w:rsidR="00442DD2" w:rsidRPr="00442DD2" w:rsidRDefault="00442DD2" w:rsidP="00BB2A9F">
      <w:pPr>
        <w:spacing w:line="360" w:lineRule="auto"/>
      </w:pPr>
      <w:r w:rsidRPr="00442DD2">
        <w:t>Lanzi pointed out t</w:t>
      </w:r>
      <w:r w:rsidR="002D65D8">
        <w:t>hat the financial forecast need</w:t>
      </w:r>
      <w:r w:rsidRPr="00442DD2">
        <w:t xml:space="preserve"> to consider the tighter credit terms offered by many of the firm's suppliers. Company records show that two years ago about 80 percent of Topeka's purchases were on terms of 2/10, net 30. That is, most suppliers offered a 2 percent discount to customers who paid within ten days but, in any event, full payment was expected by day thirty. Roughly 20 percent of the purchases were on terms of net 30. “We, of course,” noted Lanzi, “always took the discount when it was offered.”</w:t>
      </w:r>
    </w:p>
    <w:p w:rsidR="00442DD2" w:rsidRPr="00442DD2" w:rsidRDefault="00442DD2" w:rsidP="00BB2A9F">
      <w:pPr>
        <w:spacing w:line="360" w:lineRule="auto"/>
      </w:pPr>
      <w:r w:rsidRPr="00442DD2">
        <w:lastRenderedPageBreak/>
        <w:t>Company records also show that during the past year only about half of the firm's suppliers offered the above discount. Lanzi strongly believes that even fewer vendors will offer a discount in the future, and thinks that it is wise to assume—and the Whatley's concur—that only a third of all future purchases will be made on terms of 2/10, net 30. In addition, he recommends that Shatner's gross margin estimate be reduced to 31 percent, in part because of fewer trade discounts. After some discussion, Shatner agrees that Lanzi's points “are well made and my estimate of gross margin is probably a bit high.”</w:t>
      </w:r>
    </w:p>
    <w:p w:rsidR="00442DD2" w:rsidRPr="00442DD2" w:rsidRDefault="00442DD2" w:rsidP="009870EE">
      <w:pPr>
        <w:spacing w:line="360" w:lineRule="auto"/>
        <w:ind w:firstLine="720"/>
      </w:pPr>
      <w:r w:rsidRPr="00442DD2">
        <w:t>The discussion then turns to working capital management. Inventory control has been a problem for Topeka at times. Elizabeth Whatley believes that inventory turnover (CGS/inventory) can be increased to 7.7 mainly by using suppliers with shorter delivery time. Karen Whatley, however, is skeptical. She thinks that it is unrealistic to think that the firm's inventory management can be improved and believes that some type of estimate based on historical inventory patterns is appropriate. Despite her objections, however, the group decides to use Elizabeth's estimate.</w:t>
      </w:r>
    </w:p>
    <w:p w:rsidR="00442DD2" w:rsidRPr="00442DD2" w:rsidRDefault="00442DD2" w:rsidP="009870EE">
      <w:pPr>
        <w:spacing w:line="360" w:lineRule="auto"/>
        <w:ind w:firstLine="720"/>
      </w:pPr>
      <w:r w:rsidRPr="00442DD2">
        <w:t xml:space="preserve">It is clear that the firm's historical experience with its accounts receivable will be of little help </w:t>
      </w:r>
      <w:r w:rsidR="00ED67AD" w:rsidRPr="00442DD2">
        <w:t>in</w:t>
      </w:r>
      <w:r w:rsidR="00ED67AD">
        <w:t xml:space="preserve"> fu</w:t>
      </w:r>
      <w:r w:rsidR="00ED67AD" w:rsidRPr="00442DD2">
        <w:t>ture</w:t>
      </w:r>
      <w:r w:rsidRPr="00442DD2">
        <w:t xml:space="preserve"> receivables. In the past, Topeka has offered terms of net 30; 1/10, net 30; and 2/10, net 30. Quite frankly, which one Topeka offered depended on the bargaining power and importance of the customer. And many of Topeka's new clients are quite large firms who have insisted on a longer payment period.</w:t>
      </w:r>
    </w:p>
    <w:p w:rsidR="00442DD2" w:rsidRPr="00442DD2" w:rsidRDefault="00442DD2" w:rsidP="009870EE">
      <w:pPr>
        <w:spacing w:line="360" w:lineRule="auto"/>
        <w:ind w:firstLine="720"/>
      </w:pPr>
      <w:r w:rsidRPr="00442DD2">
        <w:t>For the purpose of this forecast, the Whatleys decide to assume that they will offer credit terms of net 30 and net 45. They estimate that 40 percent of all sales will be on terms of net 30, and that 80 percent of this group will pay on time, though taking the full 30 days. The 20 percent who pay late are expected to take an extra 10 days, or 40 days in all.</w:t>
      </w:r>
    </w:p>
    <w:p w:rsidR="00442DD2" w:rsidRPr="00442DD2" w:rsidRDefault="00ED67AD" w:rsidP="009870EE">
      <w:pPr>
        <w:spacing w:line="360" w:lineRule="auto"/>
        <w:ind w:firstLine="720"/>
      </w:pPr>
      <w:r w:rsidRPr="00442DD2">
        <w:t xml:space="preserve">Sixty percent of all sales </w:t>
      </w:r>
      <w:r>
        <w:t>are estimated</w:t>
      </w:r>
      <w:r w:rsidRPr="00442DD2">
        <w:t xml:space="preserve"> on terms of net 45. </w:t>
      </w:r>
      <w:r w:rsidR="00442DD2" w:rsidRPr="00442DD2">
        <w:t>The Whatleys believe that these customers will tend to be “more reliable and stable” and, thus, expect that 90 percent of these sales will be paid on time, that is, on day 45. The 10 percent who will be late are predicted to take an extra ten days.</w:t>
      </w:r>
    </w:p>
    <w:p w:rsidR="00442DD2" w:rsidRPr="00442DD2" w:rsidRDefault="00442DD2" w:rsidP="009870EE">
      <w:pPr>
        <w:spacing w:line="360" w:lineRule="auto"/>
        <w:ind w:firstLine="720"/>
      </w:pPr>
      <w:r w:rsidRPr="00442DD2">
        <w:lastRenderedPageBreak/>
        <w:t>The Whatleys expect that “virtually all” sales will be collected and they estimate that bad debt expense will be “insignificant” and can be ignored.</w:t>
      </w:r>
    </w:p>
    <w:p w:rsidR="00442DD2" w:rsidRPr="00442DD2" w:rsidRDefault="00442DD2" w:rsidP="009870EE">
      <w:pPr>
        <w:spacing w:line="360" w:lineRule="auto"/>
        <w:ind w:firstLine="720"/>
      </w:pPr>
      <w:r w:rsidRPr="00442DD2">
        <w:t>The group also thinks that cash should be 3 percent of sales, “other current” assets will be .6 percent of sales, and accruals are best estimated using past information.</w:t>
      </w:r>
    </w:p>
    <w:p w:rsidR="00442DD2" w:rsidRPr="00442DD2" w:rsidRDefault="00442DD2" w:rsidP="002D65D8">
      <w:pPr>
        <w:spacing w:line="360" w:lineRule="auto"/>
      </w:pPr>
      <w:r w:rsidRPr="00442DD2">
        <w:t xml:space="preserve">The firm's predicted </w:t>
      </w:r>
      <w:r w:rsidR="002D65D8">
        <w:t>2010</w:t>
      </w:r>
      <w:r w:rsidRPr="00442DD2">
        <w:t xml:space="preserve"> spending on plant, land, and equipment is $175,000. These expenditures partly reflect the replacement of existing equipment but mainly result from the new facilities necessary to accommodate the growth in sales.</w:t>
      </w:r>
    </w:p>
    <w:p w:rsidR="009870EE" w:rsidRDefault="009870EE" w:rsidP="00442DD2">
      <w:pPr>
        <w:rPr>
          <w:b/>
          <w:bCs/>
        </w:rPr>
      </w:pPr>
      <w:r>
        <w:rPr>
          <w:b/>
          <w:bCs/>
        </w:rPr>
        <w:br w:type="page"/>
      </w:r>
    </w:p>
    <w:p w:rsidR="00442DD2" w:rsidRPr="00442DD2" w:rsidRDefault="00442DD2" w:rsidP="00442DD2">
      <w:pPr>
        <w:rPr>
          <w:b/>
          <w:bCs/>
        </w:rPr>
      </w:pPr>
      <w:r w:rsidRPr="00442DD2">
        <w:rPr>
          <w:b/>
          <w:bCs/>
        </w:rPr>
        <w:t>Financial Issues</w:t>
      </w:r>
    </w:p>
    <w:p w:rsidR="00442DD2" w:rsidRPr="00442DD2" w:rsidRDefault="00442DD2" w:rsidP="002D65D8">
      <w:pPr>
        <w:spacing w:line="360" w:lineRule="auto"/>
      </w:pPr>
      <w:r w:rsidRPr="00442DD2">
        <w:t xml:space="preserve">Topeka will pay no dividends during </w:t>
      </w:r>
      <w:r w:rsidR="002D65D8">
        <w:t>2010</w:t>
      </w:r>
      <w:r w:rsidRPr="00442DD2">
        <w:t>. The firm has one loan outstanding and the amount due is $20,000 each year. Assuming no additional borrowing, annual interest expense will decline since the loan's balance also declines and the rate is fixed. Still, it is likely that some if not most of any new funds would be borrowed. For the time being, however, the forecasters decide to ignore the possibility of any new debt except for the assumption that interest expense will remain constant over the forecasting period.</w:t>
      </w:r>
    </w:p>
    <w:p w:rsidR="00442DD2" w:rsidRPr="00442DD2" w:rsidRDefault="00442DD2" w:rsidP="009870EE">
      <w:pPr>
        <w:spacing w:line="360" w:lineRule="auto"/>
        <w:ind w:firstLine="720"/>
      </w:pPr>
      <w:r w:rsidRPr="00442DD2">
        <w:t xml:space="preserve">Lanzi says he has enough information to develop an estimate for </w:t>
      </w:r>
      <w:r w:rsidR="002D65D8">
        <w:t>2010</w:t>
      </w:r>
      <w:r w:rsidRPr="00442DD2">
        <w:t xml:space="preserve"> and then, as the meeting is about to break up, Karen Whatley raises an issue that she'd like to discuss at a future time. “We frequently negotiate credit terms with customers,” she notes. “And we often give in to the customer, especially if we sense we risk losing a sale. I'm interested in knowing when—if ever—we should be more hardcore about our credit terms. We've never really looked carefully at this question, you know.”</w:t>
      </w:r>
    </w:p>
    <w:p w:rsidR="00442DD2" w:rsidRPr="00442DD2" w:rsidRDefault="00442DD2" w:rsidP="00442DD2">
      <w:pPr>
        <w:rPr>
          <w:b/>
          <w:bCs/>
        </w:rPr>
      </w:pPr>
    </w:p>
    <w:p w:rsidR="00442DD2" w:rsidRPr="00442DD2" w:rsidRDefault="00442DD2" w:rsidP="002D65D8">
      <w:pPr>
        <w:spacing w:line="360" w:lineRule="auto"/>
      </w:pPr>
      <w:r w:rsidRPr="00442DD2">
        <w:rPr>
          <w:b/>
          <w:bCs/>
        </w:rPr>
        <w:t>Questions</w:t>
      </w:r>
    </w:p>
    <w:p w:rsidR="00442DD2" w:rsidRPr="00442DD2" w:rsidRDefault="00442DD2" w:rsidP="00431C58">
      <w:pPr>
        <w:pStyle w:val="ListParagraph"/>
        <w:numPr>
          <w:ilvl w:val="0"/>
          <w:numId w:val="1"/>
        </w:numPr>
      </w:pPr>
      <w:r w:rsidRPr="00442DD2">
        <w:t xml:space="preserve">When Jim Davidson, a company foreman, heard that Topeka </w:t>
      </w:r>
      <w:r w:rsidR="002D65D8" w:rsidRPr="00442DD2">
        <w:t>might</w:t>
      </w:r>
      <w:r w:rsidRPr="00442DD2">
        <w:t xml:space="preserve"> need external funds he was quite puzzled. “I've seen the most recent balance sheet. And we seem to be rolling in dough, judging from the impressive amount of retained earnings.” Respond to Davidson's comment.</w:t>
      </w:r>
    </w:p>
    <w:p w:rsidR="00442DD2" w:rsidRPr="00442DD2" w:rsidRDefault="00442DD2" w:rsidP="00BC107C">
      <w:pPr>
        <w:pStyle w:val="ListParagraph"/>
        <w:numPr>
          <w:ilvl w:val="0"/>
          <w:numId w:val="1"/>
        </w:numPr>
      </w:pPr>
      <w:r w:rsidRPr="00442DD2">
        <w:t xml:space="preserve">Develop a pro forma income statement for </w:t>
      </w:r>
      <w:r w:rsidR="002D65D8">
        <w:t>2010</w:t>
      </w:r>
      <w:r w:rsidRPr="00442DD2">
        <w:t xml:space="preserve">. You may assume that depreciation equals the </w:t>
      </w:r>
      <w:r w:rsidR="002D65D8">
        <w:t>2009</w:t>
      </w:r>
      <w:r w:rsidRPr="00442DD2">
        <w:t xml:space="preserve"> amount plus one-sixth of </w:t>
      </w:r>
      <w:r w:rsidR="002D65D8">
        <w:t>2010</w:t>
      </w:r>
      <w:r w:rsidRPr="00442DD2">
        <w:t xml:space="preserve"> capital spending. The relevant tax rate is 40 percent.</w:t>
      </w:r>
    </w:p>
    <w:p w:rsidR="009870EE" w:rsidRDefault="00442DD2" w:rsidP="00BC107C">
      <w:pPr>
        <w:pStyle w:val="ListParagraph"/>
        <w:numPr>
          <w:ilvl w:val="0"/>
          <w:numId w:val="1"/>
        </w:numPr>
      </w:pPr>
      <w:r w:rsidRPr="00442DD2">
        <w:t xml:space="preserve">Estimate purchases in </w:t>
      </w:r>
      <w:r w:rsidR="002D65D8">
        <w:t>2010</w:t>
      </w:r>
      <w:r w:rsidRPr="00442DD2">
        <w:t xml:space="preserve">. </w:t>
      </w:r>
      <w:r w:rsidRPr="002D65D8">
        <w:rPr>
          <w:i/>
          <w:iCs/>
        </w:rPr>
        <w:t>(Hint:</w:t>
      </w:r>
      <w:r w:rsidRPr="00442DD2">
        <w:t xml:space="preserve"> Cost of goods equals purchases plus beginning inventory minus ending inventory.)</w:t>
      </w:r>
    </w:p>
    <w:p w:rsidR="00442DD2" w:rsidRPr="00442DD2" w:rsidRDefault="00442DD2" w:rsidP="009870EE">
      <w:pPr>
        <w:pStyle w:val="ListParagraph"/>
        <w:numPr>
          <w:ilvl w:val="0"/>
          <w:numId w:val="4"/>
        </w:numPr>
      </w:pPr>
    </w:p>
    <w:p w:rsidR="00442DD2" w:rsidRPr="00442DD2" w:rsidRDefault="00442DD2" w:rsidP="009870EE">
      <w:pPr>
        <w:pStyle w:val="ListParagraph"/>
        <w:numPr>
          <w:ilvl w:val="1"/>
          <w:numId w:val="5"/>
        </w:numPr>
      </w:pPr>
      <w:r w:rsidRPr="00442DD2">
        <w:t xml:space="preserve">Develop the </w:t>
      </w:r>
      <w:r w:rsidR="002D65D8">
        <w:t>2010</w:t>
      </w:r>
      <w:r w:rsidRPr="00442DD2">
        <w:t xml:space="preserve"> pro forma balance sheet.</w:t>
      </w:r>
    </w:p>
    <w:p w:rsidR="00442DD2" w:rsidRPr="00442DD2" w:rsidRDefault="00442DD2" w:rsidP="009870EE">
      <w:pPr>
        <w:pStyle w:val="ListParagraph"/>
        <w:numPr>
          <w:ilvl w:val="1"/>
          <w:numId w:val="5"/>
        </w:numPr>
      </w:pPr>
      <w:r w:rsidRPr="00442DD2">
        <w:t xml:space="preserve">What is your estimate of funds needed in </w:t>
      </w:r>
      <w:r w:rsidR="00431C58">
        <w:t>2010</w:t>
      </w:r>
      <w:r w:rsidRPr="00442DD2">
        <w:t>?</w:t>
      </w:r>
    </w:p>
    <w:p w:rsidR="00BC107C" w:rsidRPr="00442DD2" w:rsidRDefault="00442DD2" w:rsidP="00BC107C">
      <w:pPr>
        <w:pStyle w:val="ListParagraph"/>
        <w:numPr>
          <w:ilvl w:val="1"/>
          <w:numId w:val="5"/>
        </w:numPr>
      </w:pPr>
      <w:r w:rsidRPr="00442DD2">
        <w:t xml:space="preserve">Suppose that Elizabeth Whatley is correct and that Topeka's inventory management is unlikely to improve. Develop an estimate of inventory using the “historical information” in Exhibit </w:t>
      </w:r>
      <w:hyperlink r:id="rId6" w:history="1">
        <w:r w:rsidRPr="00442DD2">
          <w:rPr>
            <w:rStyle w:val="Hyperlink"/>
          </w:rPr>
          <w:t>1</w:t>
        </w:r>
      </w:hyperlink>
      <w:r w:rsidR="003F28E1">
        <w:t xml:space="preserve"> </w:t>
      </w:r>
      <w:r w:rsidRPr="00442DD2">
        <w:t xml:space="preserve">and Exhibit </w:t>
      </w:r>
      <w:hyperlink r:id="rId7" w:history="1">
        <w:r w:rsidRPr="00442DD2">
          <w:rPr>
            <w:rStyle w:val="Hyperlink"/>
          </w:rPr>
          <w:t>2</w:t>
        </w:r>
      </w:hyperlink>
      <w:r w:rsidRPr="00442DD2">
        <w:t>. How does this affect the e</w:t>
      </w:r>
      <w:r w:rsidR="00BC107C">
        <w:t>stimate of funds needed in 4</w:t>
      </w:r>
      <w:r w:rsidRPr="00442DD2">
        <w:t>(b)?</w:t>
      </w:r>
    </w:p>
    <w:p w:rsidR="00BC107C" w:rsidRPr="00442DD2" w:rsidRDefault="00BC107C" w:rsidP="00BC107C">
      <w:pPr>
        <w:pStyle w:val="ListParagraph"/>
        <w:numPr>
          <w:ilvl w:val="0"/>
          <w:numId w:val="5"/>
        </w:numPr>
      </w:pPr>
      <w:r w:rsidRPr="00442DD2">
        <w:t xml:space="preserve">Use the percent of sales method to estimate funds needed in </w:t>
      </w:r>
      <w:r>
        <w:t>2010</w:t>
      </w:r>
      <w:r w:rsidRPr="00442DD2">
        <w:t xml:space="preserve"> using the </w:t>
      </w:r>
      <w:r>
        <w:t>2009</w:t>
      </w:r>
      <w:r w:rsidRPr="00442DD2">
        <w:t xml:space="preserve"> percentages.</w:t>
      </w:r>
    </w:p>
    <w:p w:rsidR="00431C58" w:rsidRDefault="00BC107C" w:rsidP="00BC107C">
      <w:pPr>
        <w:pStyle w:val="ListParagraph"/>
        <w:numPr>
          <w:ilvl w:val="0"/>
          <w:numId w:val="5"/>
        </w:numPr>
      </w:pPr>
      <w:r w:rsidRPr="00442DD2">
        <w:t>Wo</w:t>
      </w:r>
      <w:r>
        <w:t>uld you expect your answers in 4(b) and 5</w:t>
      </w:r>
      <w:r w:rsidRPr="00442DD2">
        <w:t xml:space="preserve"> to be similar? Explain.</w:t>
      </w:r>
    </w:p>
    <w:p w:rsidR="002D65D8" w:rsidRDefault="00BC107C" w:rsidP="00431C58">
      <w:r>
        <w:br w:type="page"/>
      </w:r>
    </w:p>
    <w:p w:rsidR="00442DD2" w:rsidRPr="00442DD2" w:rsidRDefault="003F28E1" w:rsidP="002D65D8">
      <w:pPr>
        <w:spacing w:line="360" w:lineRule="auto"/>
      </w:pPr>
      <w:r>
        <w:rPr>
          <w:b/>
          <w:bCs/>
          <w:i/>
          <w:iCs/>
        </w:rPr>
        <w:t xml:space="preserve">Exhibit </w:t>
      </w:r>
      <w:r w:rsidR="00442DD2" w:rsidRPr="002D65D8">
        <w:rPr>
          <w:b/>
          <w:bCs/>
          <w:i/>
          <w:iCs/>
        </w:rPr>
        <w:t>1.</w:t>
      </w:r>
      <w:r>
        <w:rPr>
          <w:b/>
          <w:bCs/>
          <w:i/>
          <w:iCs/>
        </w:rPr>
        <w:tab/>
      </w:r>
      <w:r w:rsidR="00442DD2" w:rsidRPr="002D65D8">
        <w:rPr>
          <w:b/>
          <w:bCs/>
        </w:rPr>
        <w:t xml:space="preserve">Income Statements of Topeka Adhesives: </w:t>
      </w:r>
      <w:r w:rsidR="00431C58">
        <w:rPr>
          <w:b/>
          <w:bCs/>
        </w:rPr>
        <w:t>2007</w:t>
      </w:r>
      <w:r w:rsidR="00442DD2" w:rsidRPr="002D65D8">
        <w:rPr>
          <w:b/>
          <w:bCs/>
        </w:rPr>
        <w:t>–</w:t>
      </w:r>
      <w:r w:rsidR="00431C58">
        <w:rPr>
          <w:b/>
          <w:bCs/>
        </w:rPr>
        <w:t>2009</w:t>
      </w:r>
      <w:r w:rsidR="00442DD2" w:rsidRPr="002D65D8">
        <w:rPr>
          <w:b/>
          <w:bCs/>
        </w:rPr>
        <w:t xml:space="preserve"> (000s)</w:t>
      </w:r>
    </w:p>
    <w:tbl>
      <w:tblPr>
        <w:tblW w:w="0" w:type="auto"/>
        <w:tblBorders>
          <w:top w:val="nil"/>
          <w:left w:val="nil"/>
          <w:right w:val="nil"/>
        </w:tblBorders>
        <w:tblLayout w:type="fixed"/>
        <w:tblLook w:val="0000"/>
      </w:tblPr>
      <w:tblGrid>
        <w:gridCol w:w="2160"/>
        <w:gridCol w:w="2160"/>
        <w:gridCol w:w="2160"/>
        <w:gridCol w:w="2160"/>
      </w:tblGrid>
      <w:tr w:rsidR="00442DD2" w:rsidRPr="00442DD2">
        <w:tc>
          <w:tcPr>
            <w:tcW w:w="2160" w:type="dxa"/>
            <w:tcBorders>
              <w:bottom w:val="single" w:sz="8" w:space="0" w:color="000000"/>
            </w:tcBorders>
            <w:tcMar>
              <w:top w:w="140" w:type="nil"/>
              <w:left w:w="140" w:type="nil"/>
              <w:bottom w:w="140" w:type="nil"/>
              <w:right w:w="140" w:type="nil"/>
            </w:tcMar>
            <w:vAlign w:val="bottom"/>
          </w:tcPr>
          <w:p w:rsidR="00442DD2" w:rsidRPr="00442DD2" w:rsidRDefault="00442DD2" w:rsidP="002D65D8">
            <w:pPr>
              <w:ind w:left="1080"/>
            </w:pPr>
          </w:p>
        </w:tc>
        <w:tc>
          <w:tcPr>
            <w:tcW w:w="1400" w:type="dxa"/>
            <w:tcBorders>
              <w:bottom w:val="single" w:sz="8" w:space="0" w:color="000000"/>
            </w:tcBorders>
            <w:tcMar>
              <w:top w:w="140" w:type="nil"/>
              <w:left w:w="140" w:type="nil"/>
              <w:bottom w:w="140" w:type="nil"/>
              <w:right w:w="140" w:type="nil"/>
            </w:tcMar>
          </w:tcPr>
          <w:p w:rsidR="00442DD2" w:rsidRPr="00442DD2" w:rsidRDefault="00431C58" w:rsidP="002D65D8">
            <w:pPr>
              <w:ind w:left="1080"/>
            </w:pPr>
            <w:r>
              <w:t>2007</w:t>
            </w:r>
          </w:p>
        </w:tc>
        <w:tc>
          <w:tcPr>
            <w:tcW w:w="1400" w:type="dxa"/>
            <w:tcBorders>
              <w:bottom w:val="single" w:sz="8" w:space="0" w:color="000000"/>
            </w:tcBorders>
            <w:tcMar>
              <w:top w:w="140" w:type="nil"/>
              <w:left w:w="140" w:type="nil"/>
              <w:bottom w:w="140" w:type="nil"/>
              <w:right w:w="140" w:type="nil"/>
            </w:tcMar>
          </w:tcPr>
          <w:p w:rsidR="00442DD2" w:rsidRPr="00442DD2" w:rsidRDefault="00431C58" w:rsidP="002D65D8">
            <w:pPr>
              <w:ind w:left="1080"/>
            </w:pPr>
            <w:r>
              <w:t>2008</w:t>
            </w:r>
          </w:p>
        </w:tc>
        <w:tc>
          <w:tcPr>
            <w:tcW w:w="1400" w:type="dxa"/>
            <w:tcBorders>
              <w:bottom w:val="single" w:sz="8" w:space="0" w:color="000000"/>
            </w:tcBorders>
            <w:tcMar>
              <w:top w:w="140" w:type="nil"/>
              <w:left w:w="140" w:type="nil"/>
              <w:bottom w:w="140" w:type="nil"/>
              <w:right w:w="140" w:type="nil"/>
            </w:tcMar>
          </w:tcPr>
          <w:p w:rsidR="00442DD2" w:rsidRPr="00442DD2" w:rsidRDefault="00431C58" w:rsidP="002D65D8">
            <w:pPr>
              <w:ind w:left="1080"/>
            </w:pPr>
            <w:r>
              <w:t>2009</w:t>
            </w:r>
          </w:p>
        </w:tc>
      </w:tr>
      <w:tr w:rsidR="00442DD2" w:rsidRPr="00442DD2">
        <w:tblPrEx>
          <w:tblBorders>
            <w:top w:val="none" w:sz="0" w:space="0" w:color="auto"/>
          </w:tblBorders>
        </w:tblPrEx>
        <w:tc>
          <w:tcPr>
            <w:tcW w:w="2160" w:type="dxa"/>
            <w:tcMar>
              <w:top w:w="140" w:type="nil"/>
              <w:left w:w="140" w:type="nil"/>
              <w:bottom w:w="140" w:type="nil"/>
              <w:right w:w="140" w:type="nil"/>
            </w:tcMar>
          </w:tcPr>
          <w:p w:rsidR="00442DD2" w:rsidRPr="00442DD2" w:rsidRDefault="00442DD2" w:rsidP="00431C58">
            <w:pPr>
              <w:ind w:left="144"/>
            </w:pPr>
            <w:r w:rsidRPr="00442DD2">
              <w:t>Sales</w:t>
            </w:r>
          </w:p>
        </w:tc>
        <w:tc>
          <w:tcPr>
            <w:tcW w:w="1400" w:type="dxa"/>
            <w:tcMar>
              <w:top w:w="140" w:type="nil"/>
              <w:left w:w="140" w:type="nil"/>
              <w:bottom w:w="140" w:type="nil"/>
              <w:right w:w="140" w:type="nil"/>
            </w:tcMar>
          </w:tcPr>
          <w:p w:rsidR="00442DD2" w:rsidRPr="00442DD2" w:rsidRDefault="00442DD2" w:rsidP="002D65D8">
            <w:pPr>
              <w:ind w:left="1080"/>
            </w:pPr>
            <w:r w:rsidRPr="00442DD2">
              <w:t>$1,347.0</w:t>
            </w:r>
          </w:p>
        </w:tc>
        <w:tc>
          <w:tcPr>
            <w:tcW w:w="1400" w:type="dxa"/>
            <w:tcMar>
              <w:top w:w="140" w:type="nil"/>
              <w:left w:w="140" w:type="nil"/>
              <w:bottom w:w="140" w:type="nil"/>
              <w:right w:w="140" w:type="nil"/>
            </w:tcMar>
          </w:tcPr>
          <w:p w:rsidR="00442DD2" w:rsidRPr="00442DD2" w:rsidRDefault="00442DD2" w:rsidP="002D65D8">
            <w:pPr>
              <w:ind w:left="1080"/>
            </w:pPr>
            <w:r w:rsidRPr="00442DD2">
              <w:t>$1,448.0</w:t>
            </w:r>
          </w:p>
        </w:tc>
        <w:tc>
          <w:tcPr>
            <w:tcW w:w="1400" w:type="dxa"/>
            <w:tcMar>
              <w:top w:w="140" w:type="nil"/>
              <w:left w:w="140" w:type="nil"/>
              <w:bottom w:w="140" w:type="nil"/>
              <w:right w:w="140" w:type="nil"/>
            </w:tcMar>
          </w:tcPr>
          <w:p w:rsidR="00442DD2" w:rsidRPr="00442DD2" w:rsidRDefault="00442DD2" w:rsidP="002D65D8">
            <w:pPr>
              <w:ind w:left="1080"/>
            </w:pPr>
            <w:r w:rsidRPr="00442DD2">
              <w:t>$1,546.5</w:t>
            </w:r>
          </w:p>
        </w:tc>
      </w:tr>
      <w:tr w:rsidR="00442DD2" w:rsidRPr="00442DD2">
        <w:tblPrEx>
          <w:tblBorders>
            <w:top w:val="none" w:sz="0" w:space="0" w:color="auto"/>
          </w:tblBorders>
        </w:tblPrEx>
        <w:tc>
          <w:tcPr>
            <w:tcW w:w="2160" w:type="dxa"/>
            <w:tcMar>
              <w:top w:w="140" w:type="nil"/>
              <w:left w:w="140" w:type="nil"/>
              <w:bottom w:w="140" w:type="nil"/>
              <w:right w:w="140" w:type="nil"/>
            </w:tcMar>
          </w:tcPr>
          <w:p w:rsidR="00442DD2" w:rsidRPr="00442DD2" w:rsidRDefault="00442DD2" w:rsidP="00431C58">
            <w:pPr>
              <w:ind w:left="144"/>
            </w:pPr>
            <w:r w:rsidRPr="00442DD2">
              <w:t>Cost of goods</w:t>
            </w:r>
          </w:p>
        </w:tc>
        <w:tc>
          <w:tcPr>
            <w:tcW w:w="1400" w:type="dxa"/>
            <w:tcBorders>
              <w:bottom w:val="single" w:sz="8" w:space="0" w:color="000000"/>
            </w:tcBorders>
            <w:tcMar>
              <w:top w:w="140" w:type="nil"/>
              <w:left w:w="140" w:type="nil"/>
              <w:bottom w:w="140" w:type="nil"/>
              <w:right w:w="140" w:type="nil"/>
            </w:tcMar>
          </w:tcPr>
          <w:p w:rsidR="00442DD2" w:rsidRPr="00442DD2" w:rsidRDefault="00442DD2" w:rsidP="002D65D8">
            <w:pPr>
              <w:ind w:left="1080"/>
            </w:pPr>
            <w:r w:rsidRPr="00442DD2">
              <w:t>956.4</w:t>
            </w:r>
          </w:p>
        </w:tc>
        <w:tc>
          <w:tcPr>
            <w:tcW w:w="1400" w:type="dxa"/>
            <w:tcBorders>
              <w:bottom w:val="single" w:sz="8" w:space="0" w:color="000000"/>
            </w:tcBorders>
            <w:tcMar>
              <w:top w:w="140" w:type="nil"/>
              <w:left w:w="140" w:type="nil"/>
              <w:bottom w:w="140" w:type="nil"/>
              <w:right w:w="140" w:type="nil"/>
            </w:tcMar>
          </w:tcPr>
          <w:p w:rsidR="00442DD2" w:rsidRPr="00442DD2" w:rsidRDefault="00442DD2" w:rsidP="002D65D8">
            <w:pPr>
              <w:ind w:left="1080"/>
            </w:pPr>
            <w:r w:rsidRPr="00442DD2">
              <w:t>1,010.7</w:t>
            </w:r>
          </w:p>
        </w:tc>
        <w:tc>
          <w:tcPr>
            <w:tcW w:w="1400" w:type="dxa"/>
            <w:tcBorders>
              <w:bottom w:val="single" w:sz="8" w:space="0" w:color="000000"/>
            </w:tcBorders>
            <w:tcMar>
              <w:top w:w="140" w:type="nil"/>
              <w:left w:w="140" w:type="nil"/>
              <w:bottom w:w="140" w:type="nil"/>
              <w:right w:w="140" w:type="nil"/>
            </w:tcMar>
          </w:tcPr>
          <w:p w:rsidR="00442DD2" w:rsidRPr="00442DD2" w:rsidRDefault="00442DD2" w:rsidP="002D65D8">
            <w:pPr>
              <w:ind w:left="1080"/>
            </w:pPr>
            <w:r w:rsidRPr="00442DD2">
              <w:t>1,076.4</w:t>
            </w:r>
          </w:p>
        </w:tc>
      </w:tr>
      <w:tr w:rsidR="00442DD2" w:rsidRPr="00442DD2">
        <w:tblPrEx>
          <w:tblBorders>
            <w:top w:val="none" w:sz="0" w:space="0" w:color="auto"/>
          </w:tblBorders>
        </w:tblPrEx>
        <w:tc>
          <w:tcPr>
            <w:tcW w:w="2160" w:type="dxa"/>
            <w:tcMar>
              <w:top w:w="140" w:type="nil"/>
              <w:left w:w="140" w:type="nil"/>
              <w:bottom w:w="140" w:type="nil"/>
              <w:right w:w="140" w:type="nil"/>
            </w:tcMar>
          </w:tcPr>
          <w:p w:rsidR="00442DD2" w:rsidRPr="00442DD2" w:rsidRDefault="00442DD2" w:rsidP="00431C58">
            <w:pPr>
              <w:ind w:left="144"/>
            </w:pPr>
            <w:r w:rsidRPr="00442DD2">
              <w:t>Gross margin</w:t>
            </w:r>
          </w:p>
        </w:tc>
        <w:tc>
          <w:tcPr>
            <w:tcW w:w="1400" w:type="dxa"/>
            <w:tcMar>
              <w:top w:w="140" w:type="nil"/>
              <w:left w:w="140" w:type="nil"/>
              <w:bottom w:w="140" w:type="nil"/>
              <w:right w:w="140" w:type="nil"/>
            </w:tcMar>
          </w:tcPr>
          <w:p w:rsidR="00442DD2" w:rsidRPr="00442DD2" w:rsidRDefault="00442DD2" w:rsidP="002D65D8">
            <w:pPr>
              <w:ind w:left="1080"/>
            </w:pPr>
            <w:r w:rsidRPr="00442DD2">
              <w:t>390.6</w:t>
            </w:r>
          </w:p>
        </w:tc>
        <w:tc>
          <w:tcPr>
            <w:tcW w:w="1400" w:type="dxa"/>
            <w:tcMar>
              <w:top w:w="140" w:type="nil"/>
              <w:left w:w="140" w:type="nil"/>
              <w:bottom w:w="140" w:type="nil"/>
              <w:right w:w="140" w:type="nil"/>
            </w:tcMar>
          </w:tcPr>
          <w:p w:rsidR="00442DD2" w:rsidRPr="00442DD2" w:rsidRDefault="00442DD2" w:rsidP="002D65D8">
            <w:pPr>
              <w:ind w:left="1080"/>
            </w:pPr>
            <w:r w:rsidRPr="00442DD2">
              <w:t>437.3</w:t>
            </w:r>
          </w:p>
        </w:tc>
        <w:tc>
          <w:tcPr>
            <w:tcW w:w="1400" w:type="dxa"/>
            <w:tcMar>
              <w:top w:w="140" w:type="nil"/>
              <w:left w:w="140" w:type="nil"/>
              <w:bottom w:w="140" w:type="nil"/>
              <w:right w:w="140" w:type="nil"/>
            </w:tcMar>
          </w:tcPr>
          <w:p w:rsidR="00442DD2" w:rsidRPr="00442DD2" w:rsidRDefault="00442DD2" w:rsidP="002D65D8">
            <w:pPr>
              <w:ind w:left="1080"/>
            </w:pPr>
            <w:r w:rsidRPr="00442DD2">
              <w:t>470.1</w:t>
            </w:r>
          </w:p>
        </w:tc>
      </w:tr>
      <w:tr w:rsidR="00442DD2" w:rsidRPr="00442DD2">
        <w:tblPrEx>
          <w:tblBorders>
            <w:top w:val="none" w:sz="0" w:space="0" w:color="auto"/>
          </w:tblBorders>
        </w:tblPrEx>
        <w:tc>
          <w:tcPr>
            <w:tcW w:w="2160" w:type="dxa"/>
            <w:tcMar>
              <w:top w:w="140" w:type="nil"/>
              <w:left w:w="140" w:type="nil"/>
              <w:bottom w:w="140" w:type="nil"/>
              <w:right w:w="140" w:type="nil"/>
            </w:tcMar>
          </w:tcPr>
          <w:p w:rsidR="00442DD2" w:rsidRPr="00442DD2" w:rsidRDefault="00442DD2" w:rsidP="00431C58">
            <w:pPr>
              <w:ind w:left="144"/>
            </w:pPr>
            <w:r w:rsidRPr="00442DD2">
              <w:t>Administrative</w:t>
            </w:r>
          </w:p>
        </w:tc>
        <w:tc>
          <w:tcPr>
            <w:tcW w:w="1400" w:type="dxa"/>
            <w:tcMar>
              <w:top w:w="140" w:type="nil"/>
              <w:left w:w="140" w:type="nil"/>
              <w:bottom w:w="140" w:type="nil"/>
              <w:right w:w="140" w:type="nil"/>
            </w:tcMar>
          </w:tcPr>
          <w:p w:rsidR="00442DD2" w:rsidRPr="00442DD2" w:rsidRDefault="00442DD2" w:rsidP="002D65D8">
            <w:pPr>
              <w:ind w:left="1080"/>
            </w:pPr>
            <w:r w:rsidRPr="00442DD2">
              <w:t>323.3</w:t>
            </w:r>
          </w:p>
        </w:tc>
        <w:tc>
          <w:tcPr>
            <w:tcW w:w="1400" w:type="dxa"/>
            <w:tcMar>
              <w:top w:w="140" w:type="nil"/>
              <w:left w:w="140" w:type="nil"/>
              <w:bottom w:w="140" w:type="nil"/>
              <w:right w:w="140" w:type="nil"/>
            </w:tcMar>
          </w:tcPr>
          <w:p w:rsidR="00442DD2" w:rsidRPr="00442DD2" w:rsidRDefault="00442DD2" w:rsidP="002D65D8">
            <w:pPr>
              <w:ind w:left="1080"/>
            </w:pPr>
            <w:r w:rsidRPr="00442DD2">
              <w:t>350.4</w:t>
            </w:r>
          </w:p>
        </w:tc>
        <w:tc>
          <w:tcPr>
            <w:tcW w:w="1400" w:type="dxa"/>
            <w:tcMar>
              <w:top w:w="140" w:type="nil"/>
              <w:left w:w="140" w:type="nil"/>
              <w:bottom w:w="140" w:type="nil"/>
              <w:right w:w="140" w:type="nil"/>
            </w:tcMar>
          </w:tcPr>
          <w:p w:rsidR="00442DD2" w:rsidRPr="00442DD2" w:rsidRDefault="00442DD2" w:rsidP="002D65D8">
            <w:pPr>
              <w:ind w:left="1080"/>
            </w:pPr>
            <w:r w:rsidRPr="00442DD2">
              <w:t>368.1</w:t>
            </w:r>
          </w:p>
        </w:tc>
      </w:tr>
      <w:tr w:rsidR="00442DD2" w:rsidRPr="00442DD2">
        <w:tblPrEx>
          <w:tblBorders>
            <w:top w:val="none" w:sz="0" w:space="0" w:color="auto"/>
          </w:tblBorders>
        </w:tblPrEx>
        <w:tc>
          <w:tcPr>
            <w:tcW w:w="2160" w:type="dxa"/>
            <w:tcMar>
              <w:top w:w="140" w:type="nil"/>
              <w:left w:w="140" w:type="nil"/>
              <w:bottom w:w="140" w:type="nil"/>
              <w:right w:w="140" w:type="nil"/>
            </w:tcMar>
          </w:tcPr>
          <w:p w:rsidR="00442DD2" w:rsidRPr="00442DD2" w:rsidRDefault="00442DD2" w:rsidP="00431C58">
            <w:pPr>
              <w:ind w:left="144"/>
            </w:pPr>
            <w:r w:rsidRPr="00442DD2">
              <w:t>Depreciation</w:t>
            </w:r>
          </w:p>
        </w:tc>
        <w:tc>
          <w:tcPr>
            <w:tcW w:w="1400" w:type="dxa"/>
            <w:tcBorders>
              <w:bottom w:val="single" w:sz="8" w:space="0" w:color="000000"/>
            </w:tcBorders>
            <w:tcMar>
              <w:top w:w="140" w:type="nil"/>
              <w:left w:w="140" w:type="nil"/>
              <w:bottom w:w="140" w:type="nil"/>
              <w:right w:w="140" w:type="nil"/>
            </w:tcMar>
          </w:tcPr>
          <w:p w:rsidR="00442DD2" w:rsidRPr="00442DD2" w:rsidRDefault="00442DD2" w:rsidP="002D65D8">
            <w:pPr>
              <w:ind w:left="1080"/>
            </w:pPr>
            <w:r w:rsidRPr="00442DD2">
              <w:t>29.6</w:t>
            </w:r>
          </w:p>
        </w:tc>
        <w:tc>
          <w:tcPr>
            <w:tcW w:w="1400" w:type="dxa"/>
            <w:tcBorders>
              <w:bottom w:val="single" w:sz="8" w:space="0" w:color="000000"/>
            </w:tcBorders>
            <w:tcMar>
              <w:top w:w="140" w:type="nil"/>
              <w:left w:w="140" w:type="nil"/>
              <w:bottom w:w="140" w:type="nil"/>
              <w:right w:w="140" w:type="nil"/>
            </w:tcMar>
          </w:tcPr>
          <w:p w:rsidR="00442DD2" w:rsidRPr="00442DD2" w:rsidRDefault="00442DD2" w:rsidP="002D65D8">
            <w:pPr>
              <w:ind w:left="1080"/>
            </w:pPr>
            <w:r w:rsidRPr="00442DD2">
              <w:t>31.9</w:t>
            </w:r>
          </w:p>
        </w:tc>
        <w:tc>
          <w:tcPr>
            <w:tcW w:w="1400" w:type="dxa"/>
            <w:tcBorders>
              <w:bottom w:val="single" w:sz="8" w:space="0" w:color="000000"/>
            </w:tcBorders>
            <w:tcMar>
              <w:top w:w="140" w:type="nil"/>
              <w:left w:w="140" w:type="nil"/>
              <w:bottom w:w="140" w:type="nil"/>
              <w:right w:w="140" w:type="nil"/>
            </w:tcMar>
          </w:tcPr>
          <w:p w:rsidR="00442DD2" w:rsidRPr="00442DD2" w:rsidRDefault="00442DD2" w:rsidP="002D65D8">
            <w:pPr>
              <w:ind w:left="1080"/>
            </w:pPr>
            <w:r w:rsidRPr="00442DD2">
              <w:t>34.0</w:t>
            </w:r>
          </w:p>
        </w:tc>
      </w:tr>
      <w:tr w:rsidR="00442DD2" w:rsidRPr="00442DD2">
        <w:tblPrEx>
          <w:tblBorders>
            <w:top w:val="none" w:sz="0" w:space="0" w:color="auto"/>
          </w:tblBorders>
        </w:tblPrEx>
        <w:tc>
          <w:tcPr>
            <w:tcW w:w="2160" w:type="dxa"/>
            <w:tcMar>
              <w:top w:w="140" w:type="nil"/>
              <w:left w:w="140" w:type="nil"/>
              <w:bottom w:w="140" w:type="nil"/>
              <w:right w:w="140" w:type="nil"/>
            </w:tcMar>
          </w:tcPr>
          <w:p w:rsidR="00442DD2" w:rsidRPr="00442DD2" w:rsidRDefault="00442DD2" w:rsidP="00431C58">
            <w:pPr>
              <w:ind w:left="144"/>
            </w:pPr>
            <w:r w:rsidRPr="00442DD2">
              <w:t>EBIT</w:t>
            </w:r>
          </w:p>
        </w:tc>
        <w:tc>
          <w:tcPr>
            <w:tcW w:w="1400" w:type="dxa"/>
            <w:tcMar>
              <w:top w:w="140" w:type="nil"/>
              <w:left w:w="140" w:type="nil"/>
              <w:bottom w:w="140" w:type="nil"/>
              <w:right w:w="140" w:type="nil"/>
            </w:tcMar>
          </w:tcPr>
          <w:p w:rsidR="00442DD2" w:rsidRPr="00442DD2" w:rsidRDefault="00442DD2" w:rsidP="002D65D8">
            <w:pPr>
              <w:ind w:left="1080"/>
            </w:pPr>
            <w:r w:rsidRPr="00442DD2">
              <w:t>37.7</w:t>
            </w:r>
          </w:p>
        </w:tc>
        <w:tc>
          <w:tcPr>
            <w:tcW w:w="1400" w:type="dxa"/>
            <w:tcMar>
              <w:top w:w="140" w:type="nil"/>
              <w:left w:w="140" w:type="nil"/>
              <w:bottom w:w="140" w:type="nil"/>
              <w:right w:w="140" w:type="nil"/>
            </w:tcMar>
          </w:tcPr>
          <w:p w:rsidR="00442DD2" w:rsidRPr="00442DD2" w:rsidRDefault="00442DD2" w:rsidP="002D65D8">
            <w:pPr>
              <w:ind w:left="1080"/>
            </w:pPr>
            <w:r w:rsidRPr="00442DD2">
              <w:t>55.0</w:t>
            </w:r>
          </w:p>
        </w:tc>
        <w:tc>
          <w:tcPr>
            <w:tcW w:w="1400" w:type="dxa"/>
            <w:tcMar>
              <w:top w:w="140" w:type="nil"/>
              <w:left w:w="140" w:type="nil"/>
              <w:bottom w:w="140" w:type="nil"/>
              <w:right w:w="140" w:type="nil"/>
            </w:tcMar>
          </w:tcPr>
          <w:p w:rsidR="00442DD2" w:rsidRPr="00442DD2" w:rsidRDefault="00442DD2" w:rsidP="002D65D8">
            <w:pPr>
              <w:ind w:left="1080"/>
            </w:pPr>
            <w:r w:rsidRPr="00442DD2">
              <w:t>68.0</w:t>
            </w:r>
          </w:p>
        </w:tc>
      </w:tr>
      <w:tr w:rsidR="00442DD2" w:rsidRPr="00442DD2">
        <w:tblPrEx>
          <w:tblBorders>
            <w:top w:val="none" w:sz="0" w:space="0" w:color="auto"/>
          </w:tblBorders>
        </w:tblPrEx>
        <w:tc>
          <w:tcPr>
            <w:tcW w:w="2160" w:type="dxa"/>
            <w:tcMar>
              <w:top w:w="140" w:type="nil"/>
              <w:left w:w="140" w:type="nil"/>
              <w:bottom w:w="140" w:type="nil"/>
              <w:right w:w="140" w:type="nil"/>
            </w:tcMar>
          </w:tcPr>
          <w:p w:rsidR="00442DD2" w:rsidRPr="00442DD2" w:rsidRDefault="00442DD2" w:rsidP="00431C58">
            <w:pPr>
              <w:ind w:left="144"/>
            </w:pPr>
            <w:r w:rsidRPr="00442DD2">
              <w:t>Interest</w:t>
            </w:r>
          </w:p>
        </w:tc>
        <w:tc>
          <w:tcPr>
            <w:tcW w:w="1400" w:type="dxa"/>
            <w:tcBorders>
              <w:bottom w:val="single" w:sz="8" w:space="0" w:color="000000"/>
            </w:tcBorders>
            <w:tcMar>
              <w:top w:w="140" w:type="nil"/>
              <w:left w:w="140" w:type="nil"/>
              <w:bottom w:w="140" w:type="nil"/>
              <w:right w:w="140" w:type="nil"/>
            </w:tcMar>
          </w:tcPr>
          <w:p w:rsidR="00442DD2" w:rsidRPr="00442DD2" w:rsidRDefault="00442DD2" w:rsidP="002D65D8">
            <w:pPr>
              <w:ind w:left="1080"/>
            </w:pPr>
            <w:r w:rsidRPr="00442DD2">
              <w:t>14.0</w:t>
            </w:r>
          </w:p>
        </w:tc>
        <w:tc>
          <w:tcPr>
            <w:tcW w:w="1400" w:type="dxa"/>
            <w:tcBorders>
              <w:bottom w:val="single" w:sz="8" w:space="0" w:color="000000"/>
            </w:tcBorders>
            <w:tcMar>
              <w:top w:w="140" w:type="nil"/>
              <w:left w:w="140" w:type="nil"/>
              <w:bottom w:w="140" w:type="nil"/>
              <w:right w:w="140" w:type="nil"/>
            </w:tcMar>
          </w:tcPr>
          <w:p w:rsidR="00442DD2" w:rsidRPr="00442DD2" w:rsidRDefault="00442DD2" w:rsidP="002D65D8">
            <w:pPr>
              <w:ind w:left="1080"/>
            </w:pPr>
            <w:r w:rsidRPr="00442DD2">
              <w:t>12.0</w:t>
            </w:r>
          </w:p>
        </w:tc>
        <w:tc>
          <w:tcPr>
            <w:tcW w:w="1400" w:type="dxa"/>
            <w:tcBorders>
              <w:bottom w:val="single" w:sz="8" w:space="0" w:color="000000"/>
            </w:tcBorders>
            <w:tcMar>
              <w:top w:w="140" w:type="nil"/>
              <w:left w:w="140" w:type="nil"/>
              <w:bottom w:w="140" w:type="nil"/>
              <w:right w:w="140" w:type="nil"/>
            </w:tcMar>
          </w:tcPr>
          <w:p w:rsidR="00442DD2" w:rsidRPr="00442DD2" w:rsidRDefault="00442DD2" w:rsidP="002D65D8">
            <w:pPr>
              <w:ind w:left="1080"/>
            </w:pPr>
            <w:r w:rsidRPr="00442DD2">
              <w:t>10.0</w:t>
            </w:r>
          </w:p>
        </w:tc>
      </w:tr>
      <w:tr w:rsidR="00442DD2" w:rsidRPr="00442DD2">
        <w:tblPrEx>
          <w:tblBorders>
            <w:top w:val="none" w:sz="0" w:space="0" w:color="auto"/>
          </w:tblBorders>
        </w:tblPrEx>
        <w:tc>
          <w:tcPr>
            <w:tcW w:w="2160" w:type="dxa"/>
            <w:tcMar>
              <w:top w:w="140" w:type="nil"/>
              <w:left w:w="140" w:type="nil"/>
              <w:bottom w:w="140" w:type="nil"/>
              <w:right w:w="140" w:type="nil"/>
            </w:tcMar>
          </w:tcPr>
          <w:p w:rsidR="00442DD2" w:rsidRPr="00442DD2" w:rsidRDefault="00442DD2" w:rsidP="00431C58">
            <w:pPr>
              <w:ind w:left="144"/>
            </w:pPr>
            <w:r w:rsidRPr="00442DD2">
              <w:t>EBT</w:t>
            </w:r>
          </w:p>
        </w:tc>
        <w:tc>
          <w:tcPr>
            <w:tcW w:w="1400" w:type="dxa"/>
            <w:tcMar>
              <w:top w:w="140" w:type="nil"/>
              <w:left w:w="140" w:type="nil"/>
              <w:bottom w:w="140" w:type="nil"/>
              <w:right w:w="140" w:type="nil"/>
            </w:tcMar>
          </w:tcPr>
          <w:p w:rsidR="00442DD2" w:rsidRPr="00442DD2" w:rsidRDefault="00442DD2" w:rsidP="002D65D8">
            <w:pPr>
              <w:ind w:left="1080"/>
            </w:pPr>
            <w:r w:rsidRPr="00442DD2">
              <w:t>23.7</w:t>
            </w:r>
          </w:p>
        </w:tc>
        <w:tc>
          <w:tcPr>
            <w:tcW w:w="1400" w:type="dxa"/>
            <w:tcMar>
              <w:top w:w="140" w:type="nil"/>
              <w:left w:w="140" w:type="nil"/>
              <w:bottom w:w="140" w:type="nil"/>
              <w:right w:w="140" w:type="nil"/>
            </w:tcMar>
          </w:tcPr>
          <w:p w:rsidR="00442DD2" w:rsidRPr="00442DD2" w:rsidRDefault="00442DD2" w:rsidP="002D65D8">
            <w:pPr>
              <w:ind w:left="1080"/>
            </w:pPr>
            <w:r w:rsidRPr="00442DD2">
              <w:t>43.0</w:t>
            </w:r>
          </w:p>
        </w:tc>
        <w:tc>
          <w:tcPr>
            <w:tcW w:w="1400" w:type="dxa"/>
            <w:tcMar>
              <w:top w:w="140" w:type="nil"/>
              <w:left w:w="140" w:type="nil"/>
              <w:bottom w:w="140" w:type="nil"/>
              <w:right w:w="140" w:type="nil"/>
            </w:tcMar>
          </w:tcPr>
          <w:p w:rsidR="00442DD2" w:rsidRPr="00442DD2" w:rsidRDefault="00442DD2" w:rsidP="002D65D8">
            <w:pPr>
              <w:ind w:left="1080"/>
            </w:pPr>
            <w:r w:rsidRPr="00442DD2">
              <w:t>58.0</w:t>
            </w:r>
          </w:p>
        </w:tc>
      </w:tr>
      <w:tr w:rsidR="00442DD2" w:rsidRPr="00442DD2">
        <w:tblPrEx>
          <w:tblBorders>
            <w:top w:val="none" w:sz="0" w:space="0" w:color="auto"/>
          </w:tblBorders>
        </w:tblPrEx>
        <w:tc>
          <w:tcPr>
            <w:tcW w:w="2160" w:type="dxa"/>
            <w:tcMar>
              <w:top w:w="140" w:type="nil"/>
              <w:left w:w="140" w:type="nil"/>
              <w:bottom w:w="140" w:type="nil"/>
              <w:right w:w="140" w:type="nil"/>
            </w:tcMar>
          </w:tcPr>
          <w:p w:rsidR="00442DD2" w:rsidRPr="00442DD2" w:rsidRDefault="00442DD2" w:rsidP="00431C58">
            <w:pPr>
              <w:ind w:left="144"/>
            </w:pPr>
            <w:r w:rsidRPr="00442DD2">
              <w:t>Taxes</w:t>
            </w:r>
          </w:p>
        </w:tc>
        <w:tc>
          <w:tcPr>
            <w:tcW w:w="1400" w:type="dxa"/>
            <w:tcBorders>
              <w:bottom w:val="single" w:sz="8" w:space="0" w:color="000000"/>
            </w:tcBorders>
            <w:tcMar>
              <w:top w:w="140" w:type="nil"/>
              <w:left w:w="140" w:type="nil"/>
              <w:bottom w:w="140" w:type="nil"/>
              <w:right w:w="140" w:type="nil"/>
            </w:tcMar>
          </w:tcPr>
          <w:p w:rsidR="00442DD2" w:rsidRPr="00442DD2" w:rsidRDefault="00442DD2" w:rsidP="002D65D8">
            <w:pPr>
              <w:ind w:left="1080"/>
            </w:pPr>
            <w:r w:rsidRPr="00442DD2">
              <w:t>9.5</w:t>
            </w:r>
          </w:p>
        </w:tc>
        <w:tc>
          <w:tcPr>
            <w:tcW w:w="1400" w:type="dxa"/>
            <w:tcBorders>
              <w:bottom w:val="single" w:sz="8" w:space="0" w:color="000000"/>
            </w:tcBorders>
            <w:tcMar>
              <w:top w:w="140" w:type="nil"/>
              <w:left w:w="140" w:type="nil"/>
              <w:bottom w:w="140" w:type="nil"/>
              <w:right w:w="140" w:type="nil"/>
            </w:tcMar>
          </w:tcPr>
          <w:p w:rsidR="00442DD2" w:rsidRPr="00442DD2" w:rsidRDefault="00442DD2" w:rsidP="002D65D8">
            <w:pPr>
              <w:ind w:left="1080"/>
            </w:pPr>
            <w:r w:rsidRPr="00442DD2">
              <w:t>17.2</w:t>
            </w:r>
          </w:p>
        </w:tc>
        <w:tc>
          <w:tcPr>
            <w:tcW w:w="1400" w:type="dxa"/>
            <w:tcBorders>
              <w:bottom w:val="single" w:sz="8" w:space="0" w:color="000000"/>
            </w:tcBorders>
            <w:tcMar>
              <w:top w:w="140" w:type="nil"/>
              <w:left w:w="140" w:type="nil"/>
              <w:bottom w:w="140" w:type="nil"/>
              <w:right w:w="140" w:type="nil"/>
            </w:tcMar>
          </w:tcPr>
          <w:p w:rsidR="00442DD2" w:rsidRPr="00442DD2" w:rsidRDefault="00442DD2" w:rsidP="002D65D8">
            <w:pPr>
              <w:ind w:left="1080"/>
            </w:pPr>
            <w:r w:rsidRPr="00442DD2">
              <w:t>23.2</w:t>
            </w:r>
          </w:p>
        </w:tc>
      </w:tr>
      <w:tr w:rsidR="00442DD2" w:rsidRPr="00442DD2">
        <w:tblPrEx>
          <w:tblBorders>
            <w:top w:val="none" w:sz="0" w:space="0" w:color="auto"/>
          </w:tblBorders>
        </w:tblPrEx>
        <w:tc>
          <w:tcPr>
            <w:tcW w:w="2160" w:type="dxa"/>
          </w:tcPr>
          <w:p w:rsidR="00442DD2" w:rsidRPr="00442DD2" w:rsidRDefault="00442DD2" w:rsidP="00431C58">
            <w:pPr>
              <w:ind w:left="144"/>
            </w:pPr>
            <w:r w:rsidRPr="00442DD2">
              <w:t>Net income</w:t>
            </w:r>
          </w:p>
        </w:tc>
        <w:tc>
          <w:tcPr>
            <w:tcW w:w="1400" w:type="dxa"/>
            <w:tcMar>
              <w:bottom w:w="20" w:type="nil"/>
            </w:tcMar>
          </w:tcPr>
          <w:p w:rsidR="00442DD2" w:rsidRPr="00442DD2" w:rsidRDefault="00442DD2" w:rsidP="002D65D8">
            <w:pPr>
              <w:ind w:left="1080"/>
            </w:pPr>
            <w:r w:rsidRPr="00442DD2">
              <w:rPr>
                <w:u w:val="single"/>
              </w:rPr>
              <w:t>$14.2</w:t>
            </w:r>
          </w:p>
        </w:tc>
        <w:tc>
          <w:tcPr>
            <w:tcW w:w="1400" w:type="dxa"/>
            <w:tcMar>
              <w:top w:w="140" w:type="nil"/>
              <w:left w:w="140" w:type="nil"/>
              <w:bottom w:w="140" w:type="nil"/>
              <w:right w:w="140" w:type="nil"/>
            </w:tcMar>
          </w:tcPr>
          <w:p w:rsidR="00442DD2" w:rsidRPr="00442DD2" w:rsidRDefault="00442DD2" w:rsidP="002D65D8">
            <w:pPr>
              <w:ind w:left="1080"/>
            </w:pPr>
            <w:r w:rsidRPr="00442DD2">
              <w:rPr>
                <w:u w:val="single"/>
              </w:rPr>
              <w:t>$25.8</w:t>
            </w:r>
          </w:p>
        </w:tc>
        <w:tc>
          <w:tcPr>
            <w:tcW w:w="1400" w:type="dxa"/>
            <w:tcMar>
              <w:top w:w="140" w:type="nil"/>
              <w:left w:w="140" w:type="nil"/>
              <w:right w:w="140" w:type="nil"/>
            </w:tcMar>
          </w:tcPr>
          <w:p w:rsidR="00442DD2" w:rsidRPr="00442DD2" w:rsidRDefault="00442DD2" w:rsidP="002D65D8">
            <w:pPr>
              <w:ind w:left="1080"/>
            </w:pPr>
            <w:r w:rsidRPr="00442DD2">
              <w:rPr>
                <w:u w:val="single"/>
              </w:rPr>
              <w:t>$34.8</w:t>
            </w:r>
          </w:p>
        </w:tc>
      </w:tr>
      <w:tr w:rsidR="00442DD2" w:rsidRPr="00442DD2">
        <w:tc>
          <w:tcPr>
            <w:tcW w:w="2160" w:type="dxa"/>
            <w:tcMar>
              <w:top w:w="140" w:type="nil"/>
              <w:left w:w="140" w:type="nil"/>
              <w:bottom w:w="140" w:type="nil"/>
              <w:right w:w="140" w:type="nil"/>
            </w:tcMar>
            <w:vAlign w:val="center"/>
          </w:tcPr>
          <w:p w:rsidR="00442DD2" w:rsidRPr="00442DD2" w:rsidRDefault="00442DD2" w:rsidP="002D65D8">
            <w:pPr>
              <w:ind w:left="1080"/>
            </w:pPr>
          </w:p>
        </w:tc>
        <w:tc>
          <w:tcPr>
            <w:tcW w:w="2160" w:type="dxa"/>
            <w:tcMar>
              <w:top w:w="140" w:type="nil"/>
              <w:left w:w="140" w:type="nil"/>
              <w:bottom w:w="140" w:type="nil"/>
              <w:right w:w="140" w:type="nil"/>
            </w:tcMar>
            <w:vAlign w:val="center"/>
          </w:tcPr>
          <w:p w:rsidR="00442DD2" w:rsidRPr="00442DD2" w:rsidRDefault="00442DD2" w:rsidP="002D65D8">
            <w:pPr>
              <w:ind w:left="360"/>
            </w:pPr>
          </w:p>
        </w:tc>
        <w:tc>
          <w:tcPr>
            <w:tcW w:w="2160" w:type="dxa"/>
            <w:tcMar>
              <w:top w:w="140" w:type="nil"/>
              <w:left w:w="140" w:type="nil"/>
              <w:bottom w:w="140" w:type="nil"/>
              <w:right w:w="140" w:type="nil"/>
            </w:tcMar>
            <w:vAlign w:val="center"/>
          </w:tcPr>
          <w:p w:rsidR="00442DD2" w:rsidRPr="00442DD2" w:rsidRDefault="00442DD2" w:rsidP="002D65D8">
            <w:pPr>
              <w:ind w:left="360"/>
            </w:pPr>
          </w:p>
        </w:tc>
        <w:tc>
          <w:tcPr>
            <w:tcW w:w="2160" w:type="dxa"/>
            <w:tcMar>
              <w:top w:w="140" w:type="nil"/>
              <w:left w:w="140" w:type="nil"/>
              <w:bottom w:w="140" w:type="nil"/>
              <w:right w:w="140" w:type="nil"/>
            </w:tcMar>
            <w:vAlign w:val="center"/>
          </w:tcPr>
          <w:p w:rsidR="00442DD2" w:rsidRPr="00442DD2" w:rsidRDefault="00442DD2" w:rsidP="002D65D8">
            <w:pPr>
              <w:ind w:left="360"/>
            </w:pPr>
          </w:p>
        </w:tc>
      </w:tr>
    </w:tbl>
    <w:p w:rsidR="00442DD2" w:rsidRPr="00442DD2" w:rsidRDefault="00442DD2" w:rsidP="002D65D8">
      <w:pPr>
        <w:ind w:left="1080"/>
      </w:pPr>
      <w:r w:rsidRPr="00442DD2">
        <w:t>   </w:t>
      </w:r>
      <w:r w:rsidR="003F28E1">
        <w:rPr>
          <w:b/>
          <w:bCs/>
          <w:i/>
          <w:iCs/>
        </w:rPr>
        <w:t xml:space="preserve">Exhibit </w:t>
      </w:r>
      <w:r w:rsidRPr="00442DD2">
        <w:rPr>
          <w:b/>
          <w:bCs/>
          <w:i/>
          <w:iCs/>
        </w:rPr>
        <w:t xml:space="preserve">2. </w:t>
      </w:r>
      <w:r w:rsidRPr="00442DD2">
        <w:rPr>
          <w:b/>
          <w:bCs/>
        </w:rPr>
        <w:t> </w:t>
      </w:r>
      <w:r w:rsidRPr="00442DD2">
        <w:t> </w:t>
      </w:r>
      <w:r w:rsidRPr="00442DD2">
        <w:rPr>
          <w:b/>
          <w:bCs/>
        </w:rPr>
        <w:t xml:space="preserve">Balance Sheets of Topeka Adhesives: </w:t>
      </w:r>
      <w:r w:rsidR="00431C58">
        <w:rPr>
          <w:b/>
          <w:bCs/>
        </w:rPr>
        <w:t>2007</w:t>
      </w:r>
      <w:r w:rsidRPr="00442DD2">
        <w:rPr>
          <w:b/>
          <w:bCs/>
        </w:rPr>
        <w:t>–</w:t>
      </w:r>
      <w:r w:rsidR="00431C58">
        <w:rPr>
          <w:b/>
          <w:bCs/>
        </w:rPr>
        <w:t>2009</w:t>
      </w:r>
      <w:r w:rsidRPr="00442DD2">
        <w:rPr>
          <w:b/>
          <w:bCs/>
        </w:rPr>
        <w:t xml:space="preserve"> (0000s)</w:t>
      </w:r>
    </w:p>
    <w:tbl>
      <w:tblPr>
        <w:tblW w:w="0" w:type="auto"/>
        <w:tblBorders>
          <w:top w:val="nil"/>
          <w:left w:val="nil"/>
          <w:right w:val="nil"/>
        </w:tblBorders>
        <w:tblLook w:val="0000"/>
      </w:tblPr>
      <w:tblGrid>
        <w:gridCol w:w="2797"/>
        <w:gridCol w:w="1999"/>
        <w:gridCol w:w="1999"/>
        <w:gridCol w:w="2061"/>
      </w:tblGrid>
      <w:tr w:rsidR="00442DD2" w:rsidRPr="00442DD2">
        <w:tc>
          <w:tcPr>
            <w:tcW w:w="0" w:type="auto"/>
            <w:tcBorders>
              <w:bottom w:val="single" w:sz="8" w:space="0" w:color="000000"/>
            </w:tcBorders>
            <w:tcMar>
              <w:top w:w="140" w:type="nil"/>
              <w:left w:w="140" w:type="nil"/>
              <w:bottom w:w="140" w:type="nil"/>
              <w:right w:w="140" w:type="nil"/>
            </w:tcMar>
            <w:vAlign w:val="bottom"/>
          </w:tcPr>
          <w:p w:rsidR="00442DD2" w:rsidRPr="00442DD2" w:rsidRDefault="00442DD2" w:rsidP="002D65D8">
            <w:pPr>
              <w:ind w:left="1080"/>
            </w:pPr>
          </w:p>
        </w:tc>
        <w:tc>
          <w:tcPr>
            <w:tcW w:w="0" w:type="auto"/>
            <w:tcBorders>
              <w:bottom w:val="single" w:sz="8" w:space="0" w:color="000000"/>
            </w:tcBorders>
            <w:tcMar>
              <w:top w:w="140" w:type="nil"/>
              <w:left w:w="140" w:type="nil"/>
              <w:bottom w:w="140" w:type="nil"/>
              <w:right w:w="140" w:type="nil"/>
            </w:tcMar>
          </w:tcPr>
          <w:p w:rsidR="00442DD2" w:rsidRPr="00442DD2" w:rsidRDefault="00431C58" w:rsidP="002D65D8">
            <w:pPr>
              <w:ind w:left="1080"/>
            </w:pPr>
            <w:r>
              <w:t>2007</w:t>
            </w:r>
          </w:p>
        </w:tc>
        <w:tc>
          <w:tcPr>
            <w:tcW w:w="0" w:type="auto"/>
            <w:tcBorders>
              <w:bottom w:val="single" w:sz="8" w:space="0" w:color="000000"/>
            </w:tcBorders>
            <w:tcMar>
              <w:top w:w="140" w:type="nil"/>
              <w:left w:w="140" w:type="nil"/>
              <w:bottom w:w="140" w:type="nil"/>
              <w:right w:w="140" w:type="nil"/>
            </w:tcMar>
          </w:tcPr>
          <w:p w:rsidR="00442DD2" w:rsidRPr="00442DD2" w:rsidRDefault="00431C58" w:rsidP="002D65D8">
            <w:pPr>
              <w:ind w:left="1080"/>
            </w:pPr>
            <w:r>
              <w:t>2008</w:t>
            </w:r>
          </w:p>
        </w:tc>
        <w:tc>
          <w:tcPr>
            <w:tcW w:w="0" w:type="auto"/>
            <w:tcBorders>
              <w:bottom w:val="single" w:sz="8" w:space="0" w:color="000000"/>
            </w:tcBorders>
            <w:tcMar>
              <w:top w:w="140" w:type="nil"/>
              <w:left w:w="140" w:type="nil"/>
              <w:bottom w:w="140" w:type="nil"/>
              <w:right w:w="140" w:type="nil"/>
            </w:tcMar>
          </w:tcPr>
          <w:p w:rsidR="00442DD2" w:rsidRPr="00442DD2" w:rsidRDefault="00431C58" w:rsidP="002D65D8">
            <w:pPr>
              <w:ind w:left="1080"/>
            </w:pPr>
            <w:r>
              <w:t>2009</w:t>
            </w:r>
          </w:p>
        </w:tc>
      </w:tr>
      <w:tr w:rsidR="00442DD2" w:rsidRPr="00442DD2">
        <w:tblPrEx>
          <w:tblBorders>
            <w:top w:val="none" w:sz="0" w:space="0" w:color="auto"/>
          </w:tblBorders>
        </w:tblPrEx>
        <w:tc>
          <w:tcPr>
            <w:tcW w:w="0" w:type="auto"/>
            <w:tcMar>
              <w:top w:w="140" w:type="nil"/>
              <w:left w:w="140" w:type="nil"/>
              <w:bottom w:w="140" w:type="nil"/>
              <w:right w:w="140" w:type="nil"/>
            </w:tcMar>
          </w:tcPr>
          <w:p w:rsidR="00442DD2" w:rsidRPr="00442DD2" w:rsidRDefault="00442DD2" w:rsidP="00431C58">
            <w:pPr>
              <w:ind w:left="72"/>
            </w:pPr>
            <w:r w:rsidRPr="00442DD2">
              <w:t>Assets</w:t>
            </w:r>
          </w:p>
        </w:tc>
        <w:tc>
          <w:tcPr>
            <w:tcW w:w="0" w:type="auto"/>
            <w:tcMar>
              <w:top w:w="140" w:type="nil"/>
              <w:left w:w="140" w:type="nil"/>
              <w:bottom w:w="140" w:type="nil"/>
              <w:right w:w="140" w:type="nil"/>
            </w:tcMar>
          </w:tcPr>
          <w:p w:rsidR="00442DD2" w:rsidRPr="00442DD2" w:rsidRDefault="00442DD2" w:rsidP="002D65D8">
            <w:pPr>
              <w:ind w:left="1080"/>
            </w:pPr>
          </w:p>
        </w:tc>
        <w:tc>
          <w:tcPr>
            <w:tcW w:w="0" w:type="auto"/>
            <w:tcMar>
              <w:top w:w="140" w:type="nil"/>
              <w:left w:w="140" w:type="nil"/>
              <w:bottom w:w="140" w:type="nil"/>
              <w:right w:w="140" w:type="nil"/>
            </w:tcMar>
          </w:tcPr>
          <w:p w:rsidR="00442DD2" w:rsidRPr="00442DD2" w:rsidRDefault="00442DD2" w:rsidP="002D65D8">
            <w:pPr>
              <w:ind w:left="1080"/>
            </w:pPr>
          </w:p>
        </w:tc>
        <w:tc>
          <w:tcPr>
            <w:tcW w:w="0" w:type="auto"/>
            <w:tcMar>
              <w:top w:w="140" w:type="nil"/>
              <w:left w:w="140" w:type="nil"/>
              <w:bottom w:w="140" w:type="nil"/>
              <w:right w:w="140" w:type="nil"/>
            </w:tcMar>
          </w:tcPr>
          <w:p w:rsidR="00442DD2" w:rsidRPr="00442DD2" w:rsidRDefault="00442DD2" w:rsidP="002D65D8">
            <w:pPr>
              <w:ind w:left="1080"/>
            </w:pPr>
          </w:p>
        </w:tc>
      </w:tr>
      <w:tr w:rsidR="00442DD2" w:rsidRPr="00442DD2">
        <w:tblPrEx>
          <w:tblBorders>
            <w:top w:val="none" w:sz="0" w:space="0" w:color="auto"/>
          </w:tblBorders>
        </w:tblPrEx>
        <w:tc>
          <w:tcPr>
            <w:tcW w:w="0" w:type="auto"/>
          </w:tcPr>
          <w:p w:rsidR="00442DD2" w:rsidRPr="00442DD2" w:rsidRDefault="00442DD2" w:rsidP="00431C58">
            <w:pPr>
              <w:ind w:left="72"/>
            </w:pPr>
            <w:r w:rsidRPr="00442DD2">
              <w:t>Cash</w:t>
            </w:r>
          </w:p>
        </w:tc>
        <w:tc>
          <w:tcPr>
            <w:tcW w:w="0" w:type="auto"/>
            <w:tcMar>
              <w:top w:w="140" w:type="nil"/>
              <w:left w:w="140" w:type="nil"/>
              <w:bottom w:w="140" w:type="nil"/>
              <w:right w:w="140" w:type="nil"/>
            </w:tcMar>
          </w:tcPr>
          <w:p w:rsidR="00442DD2" w:rsidRPr="00442DD2" w:rsidRDefault="00442DD2" w:rsidP="002D65D8">
            <w:pPr>
              <w:ind w:left="1080"/>
            </w:pPr>
            <w:r w:rsidRPr="00442DD2">
              <w:t>$47.6</w:t>
            </w:r>
          </w:p>
        </w:tc>
        <w:tc>
          <w:tcPr>
            <w:tcW w:w="0" w:type="auto"/>
            <w:tcMar>
              <w:top w:w="280" w:type="nil"/>
              <w:left w:w="140" w:type="nil"/>
              <w:bottom w:w="140" w:type="nil"/>
              <w:right w:w="140" w:type="nil"/>
            </w:tcMar>
          </w:tcPr>
          <w:p w:rsidR="00442DD2" w:rsidRPr="00442DD2" w:rsidRDefault="00442DD2" w:rsidP="002D65D8">
            <w:pPr>
              <w:ind w:left="1080"/>
            </w:pPr>
            <w:r w:rsidRPr="00442DD2">
              <w:t>$56.6</w:t>
            </w:r>
          </w:p>
        </w:tc>
        <w:tc>
          <w:tcPr>
            <w:tcW w:w="0" w:type="auto"/>
            <w:tcMar>
              <w:left w:w="140" w:type="nil"/>
              <w:bottom w:w="140" w:type="nil"/>
              <w:right w:w="140" w:type="nil"/>
            </w:tcMar>
          </w:tcPr>
          <w:p w:rsidR="00442DD2" w:rsidRPr="00442DD2" w:rsidRDefault="00442DD2" w:rsidP="002D65D8">
            <w:pPr>
              <w:ind w:left="1080"/>
            </w:pPr>
            <w:r w:rsidRPr="00442DD2">
              <w:t>$47.0</w:t>
            </w:r>
          </w:p>
        </w:tc>
      </w:tr>
      <w:tr w:rsidR="00442DD2" w:rsidRPr="00442DD2">
        <w:tblPrEx>
          <w:tblBorders>
            <w:top w:val="none" w:sz="0" w:space="0" w:color="auto"/>
          </w:tblBorders>
        </w:tblPrEx>
        <w:tc>
          <w:tcPr>
            <w:tcW w:w="0" w:type="auto"/>
          </w:tcPr>
          <w:p w:rsidR="00442DD2" w:rsidRPr="00442DD2" w:rsidRDefault="00442DD2" w:rsidP="00431C58">
            <w:pPr>
              <w:ind w:left="72"/>
            </w:pPr>
            <w:r w:rsidRPr="00442DD2">
              <w:t>Receivables</w:t>
            </w:r>
          </w:p>
        </w:tc>
        <w:tc>
          <w:tcPr>
            <w:tcW w:w="0" w:type="auto"/>
            <w:tcMar>
              <w:top w:w="140" w:type="nil"/>
              <w:left w:w="140" w:type="nil"/>
              <w:bottom w:w="140" w:type="nil"/>
              <w:right w:w="140" w:type="nil"/>
            </w:tcMar>
          </w:tcPr>
          <w:p w:rsidR="00442DD2" w:rsidRPr="00442DD2" w:rsidRDefault="00442DD2" w:rsidP="002D65D8">
            <w:pPr>
              <w:ind w:left="1080"/>
            </w:pPr>
            <w:r w:rsidRPr="00442DD2">
              <w:t>97.3</w:t>
            </w:r>
          </w:p>
        </w:tc>
        <w:tc>
          <w:tcPr>
            <w:tcW w:w="0" w:type="auto"/>
            <w:tcMar>
              <w:top w:w="280" w:type="nil"/>
              <w:left w:w="140" w:type="nil"/>
              <w:bottom w:w="140" w:type="nil"/>
              <w:right w:w="140" w:type="nil"/>
            </w:tcMar>
          </w:tcPr>
          <w:p w:rsidR="00442DD2" w:rsidRPr="00442DD2" w:rsidRDefault="00442DD2" w:rsidP="002D65D8">
            <w:pPr>
              <w:ind w:left="1080"/>
            </w:pPr>
            <w:r w:rsidRPr="00442DD2">
              <w:t>88.5</w:t>
            </w:r>
          </w:p>
        </w:tc>
        <w:tc>
          <w:tcPr>
            <w:tcW w:w="0" w:type="auto"/>
            <w:tcMar>
              <w:left w:w="140" w:type="nil"/>
              <w:bottom w:w="140" w:type="nil"/>
              <w:right w:w="140" w:type="nil"/>
            </w:tcMar>
          </w:tcPr>
          <w:p w:rsidR="00442DD2" w:rsidRPr="00442DD2" w:rsidRDefault="00442DD2" w:rsidP="002D65D8">
            <w:pPr>
              <w:ind w:left="1080"/>
            </w:pPr>
            <w:r w:rsidRPr="00442DD2">
              <w:t>110.8</w:t>
            </w:r>
          </w:p>
        </w:tc>
      </w:tr>
      <w:tr w:rsidR="00442DD2" w:rsidRPr="00442DD2">
        <w:tblPrEx>
          <w:tblBorders>
            <w:top w:val="none" w:sz="0" w:space="0" w:color="auto"/>
          </w:tblBorders>
        </w:tblPrEx>
        <w:tc>
          <w:tcPr>
            <w:tcW w:w="0" w:type="auto"/>
          </w:tcPr>
          <w:p w:rsidR="00442DD2" w:rsidRPr="00442DD2" w:rsidRDefault="00442DD2" w:rsidP="00431C58">
            <w:pPr>
              <w:ind w:left="72"/>
            </w:pPr>
            <w:r w:rsidRPr="00442DD2">
              <w:t>Inventory</w:t>
            </w:r>
          </w:p>
        </w:tc>
        <w:tc>
          <w:tcPr>
            <w:tcW w:w="0" w:type="auto"/>
            <w:tcMar>
              <w:top w:w="140" w:type="nil"/>
              <w:left w:w="140" w:type="nil"/>
              <w:bottom w:w="140" w:type="nil"/>
              <w:right w:w="140" w:type="nil"/>
            </w:tcMar>
          </w:tcPr>
          <w:p w:rsidR="00442DD2" w:rsidRPr="00442DD2" w:rsidRDefault="00442DD2" w:rsidP="002D65D8">
            <w:pPr>
              <w:ind w:left="1080"/>
            </w:pPr>
            <w:r w:rsidRPr="00442DD2">
              <w:t>134.7</w:t>
            </w:r>
          </w:p>
        </w:tc>
        <w:tc>
          <w:tcPr>
            <w:tcW w:w="0" w:type="auto"/>
            <w:tcMar>
              <w:top w:w="280" w:type="nil"/>
              <w:left w:w="140" w:type="nil"/>
              <w:bottom w:w="140" w:type="nil"/>
              <w:right w:w="140" w:type="nil"/>
            </w:tcMar>
          </w:tcPr>
          <w:p w:rsidR="00442DD2" w:rsidRPr="00442DD2" w:rsidRDefault="00442DD2" w:rsidP="002D65D8">
            <w:pPr>
              <w:ind w:left="1080"/>
            </w:pPr>
            <w:r w:rsidRPr="00442DD2">
              <w:t>138.5</w:t>
            </w:r>
          </w:p>
        </w:tc>
        <w:tc>
          <w:tcPr>
            <w:tcW w:w="0" w:type="auto"/>
            <w:tcMar>
              <w:left w:w="140" w:type="nil"/>
              <w:bottom w:w="140" w:type="nil"/>
              <w:right w:w="140" w:type="nil"/>
            </w:tcMar>
          </w:tcPr>
          <w:p w:rsidR="00442DD2" w:rsidRPr="00442DD2" w:rsidRDefault="00442DD2" w:rsidP="002D65D8">
            <w:pPr>
              <w:ind w:left="1080"/>
            </w:pPr>
            <w:r w:rsidRPr="00442DD2">
              <w:t>149.5</w:t>
            </w:r>
          </w:p>
        </w:tc>
      </w:tr>
      <w:tr w:rsidR="00442DD2" w:rsidRPr="00442DD2">
        <w:tblPrEx>
          <w:tblBorders>
            <w:top w:val="none" w:sz="0" w:space="0" w:color="auto"/>
          </w:tblBorders>
        </w:tblPrEx>
        <w:tc>
          <w:tcPr>
            <w:tcW w:w="0" w:type="auto"/>
          </w:tcPr>
          <w:p w:rsidR="00442DD2" w:rsidRPr="00442DD2" w:rsidRDefault="00442DD2" w:rsidP="00431C58">
            <w:pPr>
              <w:ind w:left="72"/>
            </w:pPr>
            <w:r w:rsidRPr="00442DD2">
              <w:t>Other current</w:t>
            </w:r>
          </w:p>
        </w:tc>
        <w:tc>
          <w:tcPr>
            <w:tcW w:w="0" w:type="auto"/>
            <w:tcMar>
              <w:top w:w="140" w:type="nil"/>
              <w:left w:w="140" w:type="nil"/>
              <w:bottom w:w="140" w:type="nil"/>
              <w:right w:w="140" w:type="nil"/>
            </w:tcMar>
          </w:tcPr>
          <w:p w:rsidR="00442DD2" w:rsidRPr="00442DD2" w:rsidRDefault="00442DD2" w:rsidP="002D65D8">
            <w:pPr>
              <w:ind w:left="1080"/>
            </w:pPr>
            <w:r w:rsidRPr="00442DD2">
              <w:rPr>
                <w:u w:val="single"/>
              </w:rPr>
              <w:t>8.1</w:t>
            </w:r>
          </w:p>
        </w:tc>
        <w:tc>
          <w:tcPr>
            <w:tcW w:w="0" w:type="auto"/>
            <w:tcMar>
              <w:top w:w="280" w:type="nil"/>
              <w:left w:w="140" w:type="nil"/>
              <w:bottom w:w="140" w:type="nil"/>
              <w:right w:w="140" w:type="nil"/>
            </w:tcMar>
          </w:tcPr>
          <w:p w:rsidR="00442DD2" w:rsidRPr="00442DD2" w:rsidRDefault="00442DD2" w:rsidP="002D65D8">
            <w:pPr>
              <w:ind w:left="1080"/>
            </w:pPr>
            <w:r w:rsidRPr="00442DD2">
              <w:rPr>
                <w:u w:val="single"/>
              </w:rPr>
              <w:t>8.7</w:t>
            </w:r>
          </w:p>
        </w:tc>
        <w:tc>
          <w:tcPr>
            <w:tcW w:w="0" w:type="auto"/>
            <w:tcMar>
              <w:left w:w="140" w:type="nil"/>
              <w:bottom w:w="140" w:type="nil"/>
              <w:right w:w="140" w:type="nil"/>
            </w:tcMar>
          </w:tcPr>
          <w:p w:rsidR="00442DD2" w:rsidRPr="00442DD2" w:rsidRDefault="00442DD2" w:rsidP="002D65D8">
            <w:pPr>
              <w:ind w:left="1080"/>
            </w:pPr>
            <w:r w:rsidRPr="00442DD2">
              <w:rPr>
                <w:u w:val="single"/>
              </w:rPr>
              <w:t>9.3</w:t>
            </w:r>
          </w:p>
        </w:tc>
      </w:tr>
      <w:tr w:rsidR="00442DD2" w:rsidRPr="00442DD2">
        <w:tblPrEx>
          <w:tblBorders>
            <w:top w:val="none" w:sz="0" w:space="0" w:color="auto"/>
          </w:tblBorders>
        </w:tblPrEx>
        <w:tc>
          <w:tcPr>
            <w:tcW w:w="0" w:type="auto"/>
          </w:tcPr>
          <w:p w:rsidR="00442DD2" w:rsidRPr="00442DD2" w:rsidRDefault="00442DD2" w:rsidP="00431C58">
            <w:pPr>
              <w:ind w:left="72"/>
            </w:pPr>
            <w:r w:rsidRPr="00442DD2">
              <w:t>Current assets</w:t>
            </w:r>
          </w:p>
        </w:tc>
        <w:tc>
          <w:tcPr>
            <w:tcW w:w="0" w:type="auto"/>
            <w:tcMar>
              <w:top w:w="140" w:type="nil"/>
              <w:left w:w="140" w:type="nil"/>
              <w:bottom w:w="140" w:type="nil"/>
              <w:right w:w="140" w:type="nil"/>
            </w:tcMar>
          </w:tcPr>
          <w:p w:rsidR="00442DD2" w:rsidRPr="00442DD2" w:rsidRDefault="00442DD2" w:rsidP="002D65D8">
            <w:pPr>
              <w:ind w:left="1080"/>
            </w:pPr>
            <w:r w:rsidRPr="00442DD2">
              <w:t>287.7</w:t>
            </w:r>
          </w:p>
        </w:tc>
        <w:tc>
          <w:tcPr>
            <w:tcW w:w="0" w:type="auto"/>
            <w:tcMar>
              <w:top w:w="280" w:type="nil"/>
              <w:left w:w="140" w:type="nil"/>
              <w:bottom w:w="140" w:type="nil"/>
              <w:right w:w="140" w:type="nil"/>
            </w:tcMar>
          </w:tcPr>
          <w:p w:rsidR="00442DD2" w:rsidRPr="00442DD2" w:rsidRDefault="00442DD2" w:rsidP="002D65D8">
            <w:pPr>
              <w:ind w:left="1080"/>
            </w:pPr>
            <w:r w:rsidRPr="00442DD2">
              <w:t>292.2</w:t>
            </w:r>
          </w:p>
        </w:tc>
        <w:tc>
          <w:tcPr>
            <w:tcW w:w="0" w:type="auto"/>
            <w:tcMar>
              <w:left w:w="140" w:type="nil"/>
              <w:bottom w:w="140" w:type="nil"/>
              <w:right w:w="140" w:type="nil"/>
            </w:tcMar>
          </w:tcPr>
          <w:p w:rsidR="00442DD2" w:rsidRPr="00442DD2" w:rsidRDefault="00442DD2" w:rsidP="002D65D8">
            <w:pPr>
              <w:ind w:left="1080"/>
            </w:pPr>
            <w:r w:rsidRPr="00442DD2">
              <w:t>316.6</w:t>
            </w:r>
          </w:p>
        </w:tc>
      </w:tr>
      <w:tr w:rsidR="00442DD2" w:rsidRPr="00442DD2">
        <w:tblPrEx>
          <w:tblBorders>
            <w:top w:val="none" w:sz="0" w:space="0" w:color="auto"/>
          </w:tblBorders>
        </w:tblPrEx>
        <w:tc>
          <w:tcPr>
            <w:tcW w:w="0" w:type="auto"/>
          </w:tcPr>
          <w:p w:rsidR="00442DD2" w:rsidRPr="00442DD2" w:rsidRDefault="00442DD2" w:rsidP="00431C58">
            <w:pPr>
              <w:ind w:left="72"/>
            </w:pPr>
            <w:r w:rsidRPr="00442DD2">
              <w:t>Gross fixed assets</w:t>
            </w:r>
          </w:p>
        </w:tc>
        <w:tc>
          <w:tcPr>
            <w:tcW w:w="0" w:type="auto"/>
            <w:tcMar>
              <w:top w:w="140" w:type="nil"/>
              <w:left w:w="140" w:type="nil"/>
              <w:bottom w:w="140" w:type="nil"/>
              <w:right w:w="140" w:type="nil"/>
            </w:tcMar>
          </w:tcPr>
          <w:p w:rsidR="00442DD2" w:rsidRPr="00442DD2" w:rsidRDefault="00442DD2" w:rsidP="002D65D8">
            <w:pPr>
              <w:ind w:left="1080"/>
            </w:pPr>
            <w:r w:rsidRPr="00442DD2">
              <w:t>194.3</w:t>
            </w:r>
          </w:p>
        </w:tc>
        <w:tc>
          <w:tcPr>
            <w:tcW w:w="0" w:type="auto"/>
            <w:tcMar>
              <w:top w:w="280" w:type="nil"/>
              <w:left w:w="140" w:type="nil"/>
              <w:bottom w:w="140" w:type="nil"/>
              <w:right w:w="140" w:type="nil"/>
            </w:tcMar>
          </w:tcPr>
          <w:p w:rsidR="00442DD2" w:rsidRPr="00442DD2" w:rsidRDefault="00442DD2" w:rsidP="002D65D8">
            <w:pPr>
              <w:ind w:left="1080"/>
            </w:pPr>
            <w:r w:rsidRPr="00442DD2">
              <w:t>232.1</w:t>
            </w:r>
          </w:p>
        </w:tc>
        <w:tc>
          <w:tcPr>
            <w:tcW w:w="0" w:type="auto"/>
            <w:tcMar>
              <w:left w:w="140" w:type="nil"/>
              <w:bottom w:w="140" w:type="nil"/>
              <w:right w:w="140" w:type="nil"/>
            </w:tcMar>
          </w:tcPr>
          <w:p w:rsidR="00442DD2" w:rsidRPr="00442DD2" w:rsidRDefault="00442DD2" w:rsidP="002D65D8">
            <w:pPr>
              <w:ind w:left="1080"/>
            </w:pPr>
            <w:r w:rsidRPr="00442DD2">
              <w:t>266.1</w:t>
            </w:r>
          </w:p>
        </w:tc>
      </w:tr>
      <w:tr w:rsidR="00442DD2" w:rsidRPr="00442DD2">
        <w:tblPrEx>
          <w:tblBorders>
            <w:top w:val="none" w:sz="0" w:space="0" w:color="auto"/>
          </w:tblBorders>
        </w:tblPrEx>
        <w:tc>
          <w:tcPr>
            <w:tcW w:w="0" w:type="auto"/>
          </w:tcPr>
          <w:p w:rsidR="00442DD2" w:rsidRPr="00442DD2" w:rsidRDefault="00442DD2" w:rsidP="00431C58">
            <w:pPr>
              <w:ind w:left="72"/>
            </w:pPr>
            <w:r w:rsidRPr="00442DD2">
              <w:t>Accumulated depreciation</w:t>
            </w:r>
          </w:p>
        </w:tc>
        <w:tc>
          <w:tcPr>
            <w:tcW w:w="0" w:type="auto"/>
            <w:tcMar>
              <w:top w:w="140" w:type="nil"/>
              <w:left w:w="140" w:type="nil"/>
              <w:bottom w:w="140" w:type="nil"/>
              <w:right w:w="140" w:type="nil"/>
            </w:tcMar>
          </w:tcPr>
          <w:p w:rsidR="00442DD2" w:rsidRPr="00442DD2" w:rsidRDefault="00442DD2" w:rsidP="002D65D8">
            <w:pPr>
              <w:ind w:left="1080"/>
            </w:pPr>
            <w:r w:rsidRPr="00442DD2">
              <w:t>(59.6)</w:t>
            </w:r>
          </w:p>
        </w:tc>
        <w:tc>
          <w:tcPr>
            <w:tcW w:w="0" w:type="auto"/>
            <w:tcMar>
              <w:top w:w="280" w:type="nil"/>
              <w:left w:w="140" w:type="nil"/>
              <w:bottom w:w="140" w:type="nil"/>
              <w:right w:w="140" w:type="nil"/>
            </w:tcMar>
          </w:tcPr>
          <w:p w:rsidR="00442DD2" w:rsidRPr="00442DD2" w:rsidRDefault="00442DD2" w:rsidP="002D65D8">
            <w:pPr>
              <w:ind w:left="1080"/>
            </w:pPr>
            <w:r w:rsidRPr="00442DD2">
              <w:t>(91.5)</w:t>
            </w:r>
          </w:p>
        </w:tc>
        <w:tc>
          <w:tcPr>
            <w:tcW w:w="0" w:type="auto"/>
            <w:tcMar>
              <w:left w:w="140" w:type="nil"/>
              <w:bottom w:w="140" w:type="nil"/>
              <w:right w:w="140" w:type="nil"/>
            </w:tcMar>
          </w:tcPr>
          <w:p w:rsidR="00442DD2" w:rsidRPr="00442DD2" w:rsidRDefault="00442DD2" w:rsidP="002D65D8">
            <w:pPr>
              <w:ind w:left="1080"/>
            </w:pPr>
            <w:r w:rsidRPr="00442DD2">
              <w:t>(125.5)</w:t>
            </w:r>
          </w:p>
        </w:tc>
      </w:tr>
      <w:tr w:rsidR="00442DD2" w:rsidRPr="00442DD2">
        <w:tblPrEx>
          <w:tblBorders>
            <w:top w:val="none" w:sz="0" w:space="0" w:color="auto"/>
          </w:tblBorders>
        </w:tblPrEx>
        <w:tc>
          <w:tcPr>
            <w:tcW w:w="0" w:type="auto"/>
          </w:tcPr>
          <w:p w:rsidR="00442DD2" w:rsidRPr="00442DD2" w:rsidRDefault="00442DD2" w:rsidP="00431C58">
            <w:pPr>
              <w:ind w:left="72"/>
            </w:pPr>
            <w:r w:rsidRPr="00442DD2">
              <w:t>Net fixed assets</w:t>
            </w:r>
          </w:p>
        </w:tc>
        <w:tc>
          <w:tcPr>
            <w:tcW w:w="0" w:type="auto"/>
            <w:tcMar>
              <w:top w:w="140" w:type="nil"/>
              <w:left w:w="140" w:type="nil"/>
              <w:bottom w:w="140" w:type="nil"/>
              <w:right w:w="140" w:type="nil"/>
            </w:tcMar>
          </w:tcPr>
          <w:p w:rsidR="00442DD2" w:rsidRPr="00442DD2" w:rsidRDefault="00442DD2" w:rsidP="002D65D8">
            <w:pPr>
              <w:ind w:left="1080"/>
            </w:pPr>
            <w:r w:rsidRPr="00442DD2">
              <w:rPr>
                <w:u w:val="single"/>
              </w:rPr>
              <w:t>134.7</w:t>
            </w:r>
          </w:p>
        </w:tc>
        <w:tc>
          <w:tcPr>
            <w:tcW w:w="0" w:type="auto"/>
            <w:tcMar>
              <w:top w:w="280" w:type="nil"/>
              <w:left w:w="140" w:type="nil"/>
              <w:bottom w:w="140" w:type="nil"/>
              <w:right w:w="140" w:type="nil"/>
            </w:tcMar>
          </w:tcPr>
          <w:p w:rsidR="00442DD2" w:rsidRPr="00442DD2" w:rsidRDefault="00442DD2" w:rsidP="002D65D8">
            <w:pPr>
              <w:ind w:left="1080"/>
            </w:pPr>
            <w:r w:rsidRPr="00442DD2">
              <w:rPr>
                <w:u w:val="single"/>
              </w:rPr>
              <w:t>140.6</w:t>
            </w:r>
          </w:p>
        </w:tc>
        <w:tc>
          <w:tcPr>
            <w:tcW w:w="0" w:type="auto"/>
            <w:tcMar>
              <w:left w:w="140" w:type="nil"/>
              <w:bottom w:w="140" w:type="nil"/>
              <w:right w:w="140" w:type="nil"/>
            </w:tcMar>
          </w:tcPr>
          <w:p w:rsidR="00442DD2" w:rsidRPr="00442DD2" w:rsidRDefault="00442DD2" w:rsidP="002D65D8">
            <w:pPr>
              <w:ind w:left="1080"/>
            </w:pPr>
            <w:r w:rsidRPr="00442DD2">
              <w:rPr>
                <w:u w:val="single"/>
              </w:rPr>
              <w:t>140.6</w:t>
            </w:r>
          </w:p>
        </w:tc>
      </w:tr>
      <w:tr w:rsidR="00442DD2" w:rsidRPr="00442DD2">
        <w:tblPrEx>
          <w:tblBorders>
            <w:top w:val="none" w:sz="0" w:space="0" w:color="auto"/>
          </w:tblBorders>
        </w:tblPrEx>
        <w:tc>
          <w:tcPr>
            <w:tcW w:w="0" w:type="auto"/>
          </w:tcPr>
          <w:p w:rsidR="00442DD2" w:rsidRPr="00442DD2" w:rsidRDefault="00442DD2" w:rsidP="00431C58">
            <w:pPr>
              <w:ind w:left="72"/>
            </w:pPr>
            <w:r w:rsidRPr="00442DD2">
              <w:t>Total assets</w:t>
            </w:r>
          </w:p>
        </w:tc>
        <w:tc>
          <w:tcPr>
            <w:tcW w:w="0" w:type="auto"/>
          </w:tcPr>
          <w:p w:rsidR="00442DD2" w:rsidRPr="00442DD2" w:rsidRDefault="00442DD2" w:rsidP="002D65D8">
            <w:pPr>
              <w:ind w:left="1080"/>
            </w:pPr>
            <w:r w:rsidRPr="00442DD2">
              <w:rPr>
                <w:u w:val="single"/>
              </w:rPr>
              <w:t>$422.4</w:t>
            </w:r>
          </w:p>
        </w:tc>
        <w:tc>
          <w:tcPr>
            <w:tcW w:w="0" w:type="auto"/>
            <w:tcMar>
              <w:top w:w="280" w:type="nil"/>
              <w:left w:w="140" w:type="nil"/>
              <w:bottom w:w="140" w:type="nil"/>
              <w:right w:w="140" w:type="nil"/>
            </w:tcMar>
          </w:tcPr>
          <w:p w:rsidR="00442DD2" w:rsidRPr="00442DD2" w:rsidRDefault="00442DD2" w:rsidP="002D65D8">
            <w:pPr>
              <w:ind w:left="1080"/>
            </w:pPr>
            <w:r w:rsidRPr="00442DD2">
              <w:rPr>
                <w:u w:val="single"/>
              </w:rPr>
              <w:t>$432.8</w:t>
            </w:r>
          </w:p>
        </w:tc>
        <w:tc>
          <w:tcPr>
            <w:tcW w:w="0" w:type="auto"/>
            <w:tcMar>
              <w:top w:w="140" w:type="nil"/>
              <w:left w:w="140" w:type="nil"/>
              <w:bottom w:w="20" w:type="nil"/>
              <w:right w:w="140" w:type="nil"/>
            </w:tcMar>
          </w:tcPr>
          <w:p w:rsidR="00442DD2" w:rsidRPr="00442DD2" w:rsidRDefault="00442DD2" w:rsidP="002D65D8">
            <w:pPr>
              <w:ind w:left="1080"/>
            </w:pPr>
            <w:r w:rsidRPr="00442DD2">
              <w:rPr>
                <w:u w:val="single"/>
              </w:rPr>
              <w:t>$457.2</w:t>
            </w:r>
          </w:p>
        </w:tc>
      </w:tr>
      <w:tr w:rsidR="00442DD2" w:rsidRPr="00442DD2">
        <w:tblPrEx>
          <w:tblBorders>
            <w:top w:val="none" w:sz="0" w:space="0" w:color="auto"/>
          </w:tblBorders>
        </w:tblPrEx>
        <w:tc>
          <w:tcPr>
            <w:tcW w:w="0" w:type="auto"/>
            <w:tcMar>
              <w:top w:w="140" w:type="nil"/>
              <w:left w:w="140" w:type="nil"/>
              <w:bottom w:w="140" w:type="nil"/>
              <w:right w:w="140" w:type="nil"/>
            </w:tcMar>
          </w:tcPr>
          <w:p w:rsidR="00442DD2" w:rsidRPr="00442DD2" w:rsidRDefault="00442DD2" w:rsidP="00431C58">
            <w:pPr>
              <w:ind w:left="72"/>
            </w:pPr>
          </w:p>
        </w:tc>
        <w:tc>
          <w:tcPr>
            <w:tcW w:w="0" w:type="auto"/>
            <w:tcMar>
              <w:top w:w="140" w:type="nil"/>
              <w:left w:w="140" w:type="nil"/>
              <w:bottom w:w="140" w:type="nil"/>
              <w:right w:w="140" w:type="nil"/>
            </w:tcMar>
          </w:tcPr>
          <w:p w:rsidR="00442DD2" w:rsidRPr="00442DD2" w:rsidRDefault="00442DD2" w:rsidP="002D65D8">
            <w:pPr>
              <w:ind w:left="1080"/>
            </w:pPr>
          </w:p>
        </w:tc>
        <w:tc>
          <w:tcPr>
            <w:tcW w:w="0" w:type="auto"/>
            <w:tcMar>
              <w:top w:w="140" w:type="nil"/>
              <w:left w:w="140" w:type="nil"/>
              <w:bottom w:w="140" w:type="nil"/>
              <w:right w:w="140" w:type="nil"/>
            </w:tcMar>
          </w:tcPr>
          <w:p w:rsidR="00442DD2" w:rsidRPr="00442DD2" w:rsidRDefault="00442DD2" w:rsidP="002D65D8">
            <w:pPr>
              <w:ind w:left="1080"/>
            </w:pPr>
          </w:p>
        </w:tc>
        <w:tc>
          <w:tcPr>
            <w:tcW w:w="0" w:type="auto"/>
            <w:tcMar>
              <w:top w:w="140" w:type="nil"/>
              <w:left w:w="140" w:type="nil"/>
              <w:bottom w:w="140" w:type="nil"/>
              <w:right w:w="140" w:type="nil"/>
            </w:tcMar>
          </w:tcPr>
          <w:p w:rsidR="00442DD2" w:rsidRPr="00442DD2" w:rsidRDefault="00442DD2" w:rsidP="002D65D8">
            <w:pPr>
              <w:ind w:left="1080"/>
            </w:pPr>
          </w:p>
        </w:tc>
      </w:tr>
      <w:tr w:rsidR="00442DD2" w:rsidRPr="00442DD2">
        <w:tblPrEx>
          <w:tblBorders>
            <w:top w:val="none" w:sz="0" w:space="0" w:color="auto"/>
          </w:tblBorders>
        </w:tblPrEx>
        <w:tc>
          <w:tcPr>
            <w:tcW w:w="0" w:type="auto"/>
            <w:tcMar>
              <w:top w:w="140" w:type="nil"/>
              <w:left w:w="140" w:type="nil"/>
              <w:bottom w:w="140" w:type="nil"/>
              <w:right w:w="140" w:type="nil"/>
            </w:tcMar>
          </w:tcPr>
          <w:p w:rsidR="00442DD2" w:rsidRPr="00442DD2" w:rsidRDefault="00442DD2" w:rsidP="00431C58">
            <w:pPr>
              <w:ind w:left="72"/>
            </w:pPr>
            <w:r w:rsidRPr="00442DD2">
              <w:t>Liabilities and equity</w:t>
            </w:r>
          </w:p>
        </w:tc>
        <w:tc>
          <w:tcPr>
            <w:tcW w:w="0" w:type="auto"/>
            <w:tcMar>
              <w:top w:w="140" w:type="nil"/>
              <w:left w:w="140" w:type="nil"/>
              <w:bottom w:w="140" w:type="nil"/>
              <w:right w:w="140" w:type="nil"/>
            </w:tcMar>
          </w:tcPr>
          <w:p w:rsidR="00442DD2" w:rsidRPr="00442DD2" w:rsidRDefault="00442DD2" w:rsidP="002D65D8">
            <w:pPr>
              <w:ind w:left="1080"/>
            </w:pPr>
          </w:p>
        </w:tc>
        <w:tc>
          <w:tcPr>
            <w:tcW w:w="0" w:type="auto"/>
            <w:tcMar>
              <w:top w:w="140" w:type="nil"/>
              <w:left w:w="140" w:type="nil"/>
              <w:bottom w:w="140" w:type="nil"/>
              <w:right w:w="140" w:type="nil"/>
            </w:tcMar>
          </w:tcPr>
          <w:p w:rsidR="00442DD2" w:rsidRPr="00442DD2" w:rsidRDefault="00442DD2" w:rsidP="002D65D8">
            <w:pPr>
              <w:ind w:left="1080"/>
            </w:pPr>
          </w:p>
        </w:tc>
        <w:tc>
          <w:tcPr>
            <w:tcW w:w="0" w:type="auto"/>
            <w:tcMar>
              <w:top w:w="140" w:type="nil"/>
              <w:left w:w="140" w:type="nil"/>
              <w:bottom w:w="140" w:type="nil"/>
              <w:right w:w="140" w:type="nil"/>
            </w:tcMar>
          </w:tcPr>
          <w:p w:rsidR="00442DD2" w:rsidRPr="00442DD2" w:rsidRDefault="00442DD2" w:rsidP="002D65D8">
            <w:pPr>
              <w:ind w:left="1080"/>
            </w:pPr>
          </w:p>
        </w:tc>
      </w:tr>
      <w:tr w:rsidR="00442DD2" w:rsidRPr="00442DD2">
        <w:tblPrEx>
          <w:tblBorders>
            <w:top w:val="none" w:sz="0" w:space="0" w:color="auto"/>
          </w:tblBorders>
        </w:tblPrEx>
        <w:tc>
          <w:tcPr>
            <w:tcW w:w="0" w:type="auto"/>
          </w:tcPr>
          <w:p w:rsidR="00442DD2" w:rsidRPr="00442DD2" w:rsidRDefault="00442DD2" w:rsidP="00431C58">
            <w:pPr>
              <w:ind w:left="72"/>
            </w:pPr>
            <w:r w:rsidRPr="00442DD2">
              <w:t>Accounts payable</w:t>
            </w:r>
          </w:p>
        </w:tc>
        <w:tc>
          <w:tcPr>
            <w:tcW w:w="0" w:type="auto"/>
            <w:tcMar>
              <w:top w:w="140" w:type="nil"/>
              <w:left w:w="140" w:type="nil"/>
              <w:bottom w:w="140" w:type="nil"/>
              <w:right w:w="140" w:type="nil"/>
            </w:tcMar>
          </w:tcPr>
          <w:p w:rsidR="00442DD2" w:rsidRPr="00442DD2" w:rsidRDefault="00442DD2" w:rsidP="002D65D8">
            <w:pPr>
              <w:ind w:left="1080"/>
            </w:pPr>
            <w:r w:rsidRPr="00442DD2">
              <w:t>$39.8</w:t>
            </w:r>
          </w:p>
        </w:tc>
        <w:tc>
          <w:tcPr>
            <w:tcW w:w="0" w:type="auto"/>
            <w:tcMar>
              <w:top w:w="280" w:type="nil"/>
              <w:left w:w="140" w:type="nil"/>
              <w:bottom w:w="140" w:type="nil"/>
              <w:right w:w="140" w:type="nil"/>
            </w:tcMar>
          </w:tcPr>
          <w:p w:rsidR="00442DD2" w:rsidRPr="00442DD2" w:rsidRDefault="00442DD2" w:rsidP="002D65D8">
            <w:pPr>
              <w:ind w:left="1080"/>
            </w:pPr>
            <w:r w:rsidRPr="00442DD2">
              <w:t>39.5</w:t>
            </w:r>
          </w:p>
        </w:tc>
        <w:tc>
          <w:tcPr>
            <w:tcW w:w="0" w:type="auto"/>
            <w:tcMar>
              <w:left w:w="140" w:type="nil"/>
              <w:bottom w:w="140" w:type="nil"/>
              <w:right w:w="140" w:type="nil"/>
            </w:tcMar>
          </w:tcPr>
          <w:p w:rsidR="00442DD2" w:rsidRPr="00442DD2" w:rsidRDefault="00442DD2" w:rsidP="002D65D8">
            <w:pPr>
              <w:ind w:left="1080"/>
            </w:pPr>
            <w:r w:rsidRPr="00442DD2">
              <w:t>$48.3</w:t>
            </w:r>
          </w:p>
        </w:tc>
      </w:tr>
      <w:tr w:rsidR="00442DD2" w:rsidRPr="00442DD2">
        <w:tblPrEx>
          <w:tblBorders>
            <w:top w:val="none" w:sz="0" w:space="0" w:color="auto"/>
          </w:tblBorders>
        </w:tblPrEx>
        <w:tc>
          <w:tcPr>
            <w:tcW w:w="0" w:type="auto"/>
          </w:tcPr>
          <w:p w:rsidR="00442DD2" w:rsidRPr="00442DD2" w:rsidRDefault="00442DD2" w:rsidP="00431C58">
            <w:pPr>
              <w:ind w:left="72"/>
            </w:pPr>
            <w:r w:rsidRPr="00442DD2">
              <w:t>Debt due</w:t>
            </w:r>
          </w:p>
        </w:tc>
        <w:tc>
          <w:tcPr>
            <w:tcW w:w="0" w:type="auto"/>
            <w:tcMar>
              <w:top w:w="140" w:type="nil"/>
              <w:left w:w="140" w:type="nil"/>
              <w:bottom w:w="140" w:type="nil"/>
              <w:right w:w="140" w:type="nil"/>
            </w:tcMar>
          </w:tcPr>
          <w:p w:rsidR="00442DD2" w:rsidRPr="00442DD2" w:rsidRDefault="00442DD2" w:rsidP="002D65D8">
            <w:pPr>
              <w:ind w:left="1080"/>
            </w:pPr>
            <w:r w:rsidRPr="00442DD2">
              <w:t>20.0</w:t>
            </w:r>
          </w:p>
        </w:tc>
        <w:tc>
          <w:tcPr>
            <w:tcW w:w="0" w:type="auto"/>
            <w:tcMar>
              <w:top w:w="280" w:type="nil"/>
              <w:left w:w="140" w:type="nil"/>
              <w:bottom w:w="140" w:type="nil"/>
              <w:right w:w="140" w:type="nil"/>
            </w:tcMar>
          </w:tcPr>
          <w:p w:rsidR="00442DD2" w:rsidRPr="00442DD2" w:rsidRDefault="00442DD2" w:rsidP="002D65D8">
            <w:pPr>
              <w:ind w:left="1080"/>
            </w:pPr>
            <w:r w:rsidRPr="00442DD2">
              <w:t>20.0</w:t>
            </w:r>
          </w:p>
        </w:tc>
        <w:tc>
          <w:tcPr>
            <w:tcW w:w="0" w:type="auto"/>
            <w:tcMar>
              <w:left w:w="140" w:type="nil"/>
              <w:bottom w:w="140" w:type="nil"/>
              <w:right w:w="140" w:type="nil"/>
            </w:tcMar>
          </w:tcPr>
          <w:p w:rsidR="00442DD2" w:rsidRPr="00442DD2" w:rsidRDefault="00442DD2" w:rsidP="002D65D8">
            <w:pPr>
              <w:ind w:left="1080"/>
            </w:pPr>
            <w:r w:rsidRPr="00442DD2">
              <w:t>20.0</w:t>
            </w:r>
          </w:p>
        </w:tc>
      </w:tr>
      <w:tr w:rsidR="00442DD2" w:rsidRPr="00442DD2">
        <w:tblPrEx>
          <w:tblBorders>
            <w:top w:val="none" w:sz="0" w:space="0" w:color="auto"/>
          </w:tblBorders>
        </w:tblPrEx>
        <w:tc>
          <w:tcPr>
            <w:tcW w:w="0" w:type="auto"/>
          </w:tcPr>
          <w:p w:rsidR="00442DD2" w:rsidRPr="00442DD2" w:rsidRDefault="00442DD2" w:rsidP="00431C58">
            <w:pPr>
              <w:ind w:left="72"/>
            </w:pPr>
            <w:r w:rsidRPr="00442DD2">
              <w:t>Accruals</w:t>
            </w:r>
          </w:p>
        </w:tc>
        <w:tc>
          <w:tcPr>
            <w:tcW w:w="0" w:type="auto"/>
            <w:tcMar>
              <w:top w:w="140" w:type="nil"/>
              <w:left w:w="140" w:type="nil"/>
              <w:bottom w:w="140" w:type="nil"/>
              <w:right w:w="140" w:type="nil"/>
            </w:tcMar>
          </w:tcPr>
          <w:p w:rsidR="00442DD2" w:rsidRPr="00442DD2" w:rsidRDefault="00442DD2" w:rsidP="002D65D8">
            <w:pPr>
              <w:ind w:left="1080"/>
            </w:pPr>
            <w:r w:rsidRPr="00442DD2">
              <w:rPr>
                <w:u w:val="single"/>
              </w:rPr>
              <w:t>28.3</w:t>
            </w:r>
          </w:p>
        </w:tc>
        <w:tc>
          <w:tcPr>
            <w:tcW w:w="0" w:type="auto"/>
            <w:tcMar>
              <w:top w:w="280" w:type="nil"/>
              <w:left w:w="140" w:type="nil"/>
              <w:bottom w:w="140" w:type="nil"/>
              <w:right w:w="140" w:type="nil"/>
            </w:tcMar>
          </w:tcPr>
          <w:p w:rsidR="00442DD2" w:rsidRPr="00442DD2" w:rsidRDefault="00442DD2" w:rsidP="002D65D8">
            <w:pPr>
              <w:ind w:left="1080"/>
            </w:pPr>
            <w:r w:rsidRPr="00442DD2">
              <w:rPr>
                <w:u w:val="single"/>
              </w:rPr>
              <w:t>33.3</w:t>
            </w:r>
          </w:p>
        </w:tc>
        <w:tc>
          <w:tcPr>
            <w:tcW w:w="0" w:type="auto"/>
            <w:tcMar>
              <w:left w:w="140" w:type="nil"/>
              <w:bottom w:w="140" w:type="nil"/>
              <w:right w:w="140" w:type="nil"/>
            </w:tcMar>
          </w:tcPr>
          <w:p w:rsidR="00442DD2" w:rsidRPr="00442DD2" w:rsidRDefault="00442DD2" w:rsidP="002D65D8">
            <w:pPr>
              <w:ind w:left="1080"/>
            </w:pPr>
            <w:r w:rsidRPr="00442DD2">
              <w:rPr>
                <w:u w:val="single"/>
              </w:rPr>
              <w:t>34.0</w:t>
            </w:r>
          </w:p>
        </w:tc>
      </w:tr>
      <w:tr w:rsidR="00442DD2" w:rsidRPr="00442DD2">
        <w:tblPrEx>
          <w:tblBorders>
            <w:top w:val="none" w:sz="0" w:space="0" w:color="auto"/>
          </w:tblBorders>
        </w:tblPrEx>
        <w:tc>
          <w:tcPr>
            <w:tcW w:w="0" w:type="auto"/>
          </w:tcPr>
          <w:p w:rsidR="00442DD2" w:rsidRPr="00442DD2" w:rsidRDefault="00442DD2" w:rsidP="00431C58">
            <w:pPr>
              <w:ind w:left="72"/>
            </w:pPr>
            <w:r w:rsidRPr="00442DD2">
              <w:t>Current liabilities</w:t>
            </w:r>
          </w:p>
        </w:tc>
        <w:tc>
          <w:tcPr>
            <w:tcW w:w="0" w:type="auto"/>
            <w:tcMar>
              <w:top w:w="140" w:type="nil"/>
              <w:left w:w="140" w:type="nil"/>
              <w:bottom w:w="140" w:type="nil"/>
              <w:right w:w="140" w:type="nil"/>
            </w:tcMar>
          </w:tcPr>
          <w:p w:rsidR="00442DD2" w:rsidRPr="00442DD2" w:rsidRDefault="00442DD2" w:rsidP="002D65D8">
            <w:pPr>
              <w:ind w:left="1080"/>
            </w:pPr>
            <w:r w:rsidRPr="00442DD2">
              <w:t>88.1</w:t>
            </w:r>
          </w:p>
        </w:tc>
        <w:tc>
          <w:tcPr>
            <w:tcW w:w="0" w:type="auto"/>
            <w:tcMar>
              <w:top w:w="280" w:type="nil"/>
              <w:left w:w="140" w:type="nil"/>
              <w:bottom w:w="140" w:type="nil"/>
              <w:right w:w="140" w:type="nil"/>
            </w:tcMar>
          </w:tcPr>
          <w:p w:rsidR="00442DD2" w:rsidRPr="00442DD2" w:rsidRDefault="00442DD2" w:rsidP="002D65D8">
            <w:pPr>
              <w:ind w:left="1080"/>
            </w:pPr>
            <w:r w:rsidRPr="00442DD2">
              <w:t>92.8</w:t>
            </w:r>
          </w:p>
        </w:tc>
        <w:tc>
          <w:tcPr>
            <w:tcW w:w="0" w:type="auto"/>
            <w:tcMar>
              <w:left w:w="140" w:type="nil"/>
              <w:bottom w:w="140" w:type="nil"/>
              <w:right w:w="140" w:type="nil"/>
            </w:tcMar>
          </w:tcPr>
          <w:p w:rsidR="00442DD2" w:rsidRPr="00442DD2" w:rsidRDefault="00442DD2" w:rsidP="002D65D8">
            <w:pPr>
              <w:ind w:left="1080"/>
            </w:pPr>
            <w:r w:rsidRPr="00442DD2">
              <w:t>102.4</w:t>
            </w:r>
          </w:p>
        </w:tc>
      </w:tr>
      <w:tr w:rsidR="00442DD2" w:rsidRPr="00442DD2">
        <w:tblPrEx>
          <w:tblBorders>
            <w:top w:val="none" w:sz="0" w:space="0" w:color="auto"/>
          </w:tblBorders>
        </w:tblPrEx>
        <w:tc>
          <w:tcPr>
            <w:tcW w:w="0" w:type="auto"/>
          </w:tcPr>
          <w:p w:rsidR="00442DD2" w:rsidRPr="00442DD2" w:rsidRDefault="00442DD2" w:rsidP="00431C58">
            <w:pPr>
              <w:ind w:left="72"/>
            </w:pPr>
            <w:r w:rsidRPr="00442DD2">
              <w:t>Long-term debt</w:t>
            </w:r>
          </w:p>
        </w:tc>
        <w:tc>
          <w:tcPr>
            <w:tcW w:w="0" w:type="auto"/>
            <w:tcMar>
              <w:top w:w="140" w:type="nil"/>
              <w:left w:w="140" w:type="nil"/>
              <w:bottom w:w="140" w:type="nil"/>
              <w:right w:w="140" w:type="nil"/>
            </w:tcMar>
          </w:tcPr>
          <w:p w:rsidR="00442DD2" w:rsidRPr="00442DD2" w:rsidRDefault="00442DD2" w:rsidP="002D65D8">
            <w:pPr>
              <w:ind w:left="1080"/>
            </w:pPr>
            <w:r w:rsidRPr="00442DD2">
              <w:t>120.0</w:t>
            </w:r>
          </w:p>
        </w:tc>
        <w:tc>
          <w:tcPr>
            <w:tcW w:w="0" w:type="auto"/>
            <w:tcMar>
              <w:top w:w="280" w:type="nil"/>
              <w:left w:w="140" w:type="nil"/>
              <w:bottom w:w="140" w:type="nil"/>
              <w:right w:w="140" w:type="nil"/>
            </w:tcMar>
          </w:tcPr>
          <w:p w:rsidR="00442DD2" w:rsidRPr="00442DD2" w:rsidRDefault="00442DD2" w:rsidP="002D65D8">
            <w:pPr>
              <w:ind w:left="1080"/>
            </w:pPr>
            <w:r w:rsidRPr="00442DD2">
              <w:t>100.0</w:t>
            </w:r>
          </w:p>
        </w:tc>
        <w:tc>
          <w:tcPr>
            <w:tcW w:w="0" w:type="auto"/>
            <w:tcMar>
              <w:left w:w="140" w:type="nil"/>
              <w:bottom w:w="140" w:type="nil"/>
              <w:right w:w="140" w:type="nil"/>
            </w:tcMar>
          </w:tcPr>
          <w:p w:rsidR="00442DD2" w:rsidRPr="00442DD2" w:rsidRDefault="00442DD2" w:rsidP="002D65D8">
            <w:pPr>
              <w:ind w:left="1080"/>
            </w:pPr>
            <w:r w:rsidRPr="00442DD2">
              <w:t>80.0</w:t>
            </w:r>
          </w:p>
        </w:tc>
      </w:tr>
      <w:tr w:rsidR="00442DD2" w:rsidRPr="00442DD2">
        <w:tblPrEx>
          <w:tblBorders>
            <w:top w:val="none" w:sz="0" w:space="0" w:color="auto"/>
          </w:tblBorders>
        </w:tblPrEx>
        <w:tc>
          <w:tcPr>
            <w:tcW w:w="0" w:type="auto"/>
          </w:tcPr>
          <w:p w:rsidR="00442DD2" w:rsidRPr="00442DD2" w:rsidRDefault="00442DD2" w:rsidP="00431C58">
            <w:pPr>
              <w:ind w:left="72"/>
            </w:pPr>
            <w:r w:rsidRPr="00442DD2">
              <w:t>Common stock</w:t>
            </w:r>
          </w:p>
        </w:tc>
        <w:tc>
          <w:tcPr>
            <w:tcW w:w="0" w:type="auto"/>
            <w:tcMar>
              <w:top w:w="140" w:type="nil"/>
              <w:left w:w="140" w:type="nil"/>
              <w:bottom w:w="140" w:type="nil"/>
              <w:right w:w="140" w:type="nil"/>
            </w:tcMar>
          </w:tcPr>
          <w:p w:rsidR="00442DD2" w:rsidRPr="00442DD2" w:rsidRDefault="00442DD2" w:rsidP="002D65D8">
            <w:pPr>
              <w:ind w:left="1080"/>
            </w:pPr>
            <w:r w:rsidRPr="00442DD2">
              <w:t>110.0</w:t>
            </w:r>
          </w:p>
        </w:tc>
        <w:tc>
          <w:tcPr>
            <w:tcW w:w="0" w:type="auto"/>
            <w:tcMar>
              <w:top w:w="280" w:type="nil"/>
              <w:left w:w="140" w:type="nil"/>
              <w:bottom w:w="140" w:type="nil"/>
              <w:right w:w="140" w:type="nil"/>
            </w:tcMar>
          </w:tcPr>
          <w:p w:rsidR="00442DD2" w:rsidRPr="00442DD2" w:rsidRDefault="00442DD2" w:rsidP="002D65D8">
            <w:pPr>
              <w:ind w:left="1080"/>
            </w:pPr>
            <w:r w:rsidRPr="00442DD2">
              <w:t>110.0</w:t>
            </w:r>
          </w:p>
        </w:tc>
        <w:tc>
          <w:tcPr>
            <w:tcW w:w="0" w:type="auto"/>
            <w:tcMar>
              <w:left w:w="140" w:type="nil"/>
              <w:bottom w:w="140" w:type="nil"/>
              <w:right w:w="140" w:type="nil"/>
            </w:tcMar>
          </w:tcPr>
          <w:p w:rsidR="00442DD2" w:rsidRPr="00442DD2" w:rsidRDefault="00442DD2" w:rsidP="002D65D8">
            <w:pPr>
              <w:ind w:left="1080"/>
            </w:pPr>
            <w:r w:rsidRPr="00442DD2">
              <w:t>110.0</w:t>
            </w:r>
          </w:p>
        </w:tc>
      </w:tr>
      <w:tr w:rsidR="00442DD2" w:rsidRPr="00442DD2">
        <w:tblPrEx>
          <w:tblBorders>
            <w:top w:val="none" w:sz="0" w:space="0" w:color="auto"/>
          </w:tblBorders>
        </w:tblPrEx>
        <w:tc>
          <w:tcPr>
            <w:tcW w:w="0" w:type="auto"/>
          </w:tcPr>
          <w:p w:rsidR="00442DD2" w:rsidRPr="00442DD2" w:rsidRDefault="00442DD2" w:rsidP="00431C58">
            <w:pPr>
              <w:ind w:left="72"/>
            </w:pPr>
            <w:r w:rsidRPr="00442DD2">
              <w:t>Retained earnings</w:t>
            </w:r>
          </w:p>
        </w:tc>
        <w:tc>
          <w:tcPr>
            <w:tcW w:w="0" w:type="auto"/>
            <w:tcMar>
              <w:top w:w="140" w:type="nil"/>
              <w:left w:w="140" w:type="nil"/>
              <w:bottom w:w="140" w:type="nil"/>
              <w:right w:w="140" w:type="nil"/>
            </w:tcMar>
          </w:tcPr>
          <w:p w:rsidR="00442DD2" w:rsidRPr="00442DD2" w:rsidRDefault="00442DD2" w:rsidP="002D65D8">
            <w:pPr>
              <w:ind w:left="1080"/>
            </w:pPr>
            <w:r w:rsidRPr="00442DD2">
              <w:rPr>
                <w:u w:val="single"/>
              </w:rPr>
              <w:t>104.2</w:t>
            </w:r>
          </w:p>
        </w:tc>
        <w:tc>
          <w:tcPr>
            <w:tcW w:w="0" w:type="auto"/>
            <w:tcMar>
              <w:top w:w="280" w:type="nil"/>
              <w:left w:w="140" w:type="nil"/>
              <w:bottom w:w="140" w:type="nil"/>
              <w:right w:w="140" w:type="nil"/>
            </w:tcMar>
          </w:tcPr>
          <w:p w:rsidR="00442DD2" w:rsidRPr="00442DD2" w:rsidRDefault="00442DD2" w:rsidP="002D65D8">
            <w:pPr>
              <w:ind w:left="1080"/>
            </w:pPr>
            <w:r w:rsidRPr="00442DD2">
              <w:rPr>
                <w:u w:val="single"/>
              </w:rPr>
              <w:t>130.0</w:t>
            </w:r>
          </w:p>
        </w:tc>
        <w:tc>
          <w:tcPr>
            <w:tcW w:w="0" w:type="auto"/>
            <w:tcMar>
              <w:left w:w="140" w:type="nil"/>
              <w:bottom w:w="140" w:type="nil"/>
              <w:right w:w="140" w:type="nil"/>
            </w:tcMar>
          </w:tcPr>
          <w:p w:rsidR="00442DD2" w:rsidRPr="00442DD2" w:rsidRDefault="00442DD2" w:rsidP="002D65D8">
            <w:pPr>
              <w:ind w:left="1080"/>
            </w:pPr>
            <w:r w:rsidRPr="00442DD2">
              <w:rPr>
                <w:u w:val="single"/>
              </w:rPr>
              <w:t>164.9</w:t>
            </w:r>
          </w:p>
        </w:tc>
      </w:tr>
      <w:tr w:rsidR="00442DD2" w:rsidRPr="00442DD2">
        <w:tblPrEx>
          <w:tblBorders>
            <w:top w:val="none" w:sz="0" w:space="0" w:color="auto"/>
          </w:tblBorders>
        </w:tblPrEx>
        <w:tc>
          <w:tcPr>
            <w:tcW w:w="0" w:type="auto"/>
            <w:tcBorders>
              <w:bottom w:val="single" w:sz="8" w:space="0" w:color="000000"/>
            </w:tcBorders>
          </w:tcPr>
          <w:p w:rsidR="00442DD2" w:rsidRPr="00442DD2" w:rsidRDefault="00442DD2" w:rsidP="00431C58">
            <w:pPr>
              <w:ind w:left="72"/>
            </w:pPr>
            <w:r w:rsidRPr="00442DD2">
              <w:t>Total liabilities and equity</w:t>
            </w:r>
          </w:p>
        </w:tc>
        <w:tc>
          <w:tcPr>
            <w:tcW w:w="0" w:type="auto"/>
            <w:tcBorders>
              <w:bottom w:val="single" w:sz="8" w:space="0" w:color="000000"/>
            </w:tcBorders>
          </w:tcPr>
          <w:p w:rsidR="00442DD2" w:rsidRPr="00442DD2" w:rsidRDefault="00442DD2" w:rsidP="002D65D8">
            <w:pPr>
              <w:ind w:left="1080"/>
            </w:pPr>
            <w:r w:rsidRPr="00442DD2">
              <w:rPr>
                <w:u w:val="single"/>
              </w:rPr>
              <w:t>$422.4</w:t>
            </w:r>
          </w:p>
        </w:tc>
        <w:tc>
          <w:tcPr>
            <w:tcW w:w="0" w:type="auto"/>
            <w:tcBorders>
              <w:bottom w:val="single" w:sz="8" w:space="0" w:color="000000"/>
            </w:tcBorders>
            <w:tcMar>
              <w:top w:w="280" w:type="nil"/>
              <w:left w:w="140" w:type="nil"/>
              <w:bottom w:w="140" w:type="nil"/>
              <w:right w:w="140" w:type="nil"/>
            </w:tcMar>
          </w:tcPr>
          <w:p w:rsidR="00442DD2" w:rsidRPr="00442DD2" w:rsidRDefault="00442DD2" w:rsidP="002D65D8">
            <w:pPr>
              <w:ind w:left="1080"/>
            </w:pPr>
            <w:r w:rsidRPr="00442DD2">
              <w:rPr>
                <w:u w:val="single"/>
              </w:rPr>
              <w:t>$432.8</w:t>
            </w:r>
          </w:p>
        </w:tc>
        <w:tc>
          <w:tcPr>
            <w:tcW w:w="0" w:type="auto"/>
            <w:tcBorders>
              <w:bottom w:val="single" w:sz="8" w:space="0" w:color="000000"/>
            </w:tcBorders>
            <w:tcMar>
              <w:top w:w="140" w:type="nil"/>
              <w:left w:w="140" w:type="nil"/>
              <w:bottom w:w="20" w:type="nil"/>
              <w:right w:w="140" w:type="nil"/>
            </w:tcMar>
          </w:tcPr>
          <w:p w:rsidR="00442DD2" w:rsidRPr="00442DD2" w:rsidRDefault="00442DD2" w:rsidP="002D65D8">
            <w:pPr>
              <w:ind w:left="1080"/>
            </w:pPr>
            <w:r w:rsidRPr="00442DD2">
              <w:rPr>
                <w:u w:val="single"/>
              </w:rPr>
              <w:t>$457.2</w:t>
            </w:r>
          </w:p>
        </w:tc>
      </w:tr>
      <w:tr w:rsidR="00442DD2" w:rsidRPr="00442DD2">
        <w:tc>
          <w:tcPr>
            <w:tcW w:w="0" w:type="auto"/>
            <w:tcMar>
              <w:top w:w="140" w:type="nil"/>
              <w:left w:w="140" w:type="nil"/>
              <w:bottom w:w="140" w:type="nil"/>
              <w:right w:w="140" w:type="nil"/>
            </w:tcMar>
            <w:vAlign w:val="center"/>
          </w:tcPr>
          <w:p w:rsidR="00442DD2" w:rsidRPr="00442DD2" w:rsidRDefault="00442DD2" w:rsidP="002D65D8">
            <w:pPr>
              <w:ind w:left="1080"/>
            </w:pPr>
          </w:p>
        </w:tc>
        <w:tc>
          <w:tcPr>
            <w:tcW w:w="0" w:type="auto"/>
            <w:tcMar>
              <w:top w:w="140" w:type="nil"/>
              <w:left w:w="140" w:type="nil"/>
              <w:bottom w:w="140" w:type="nil"/>
              <w:right w:w="140" w:type="nil"/>
            </w:tcMar>
            <w:vAlign w:val="center"/>
          </w:tcPr>
          <w:p w:rsidR="00442DD2" w:rsidRPr="00442DD2" w:rsidRDefault="00442DD2" w:rsidP="002D65D8">
            <w:pPr>
              <w:ind w:left="360"/>
            </w:pPr>
          </w:p>
        </w:tc>
        <w:tc>
          <w:tcPr>
            <w:tcW w:w="0" w:type="auto"/>
            <w:tcMar>
              <w:top w:w="140" w:type="nil"/>
              <w:left w:w="140" w:type="nil"/>
              <w:bottom w:w="140" w:type="nil"/>
              <w:right w:w="140" w:type="nil"/>
            </w:tcMar>
            <w:vAlign w:val="center"/>
          </w:tcPr>
          <w:p w:rsidR="00442DD2" w:rsidRPr="00442DD2" w:rsidRDefault="00442DD2" w:rsidP="002D65D8">
            <w:pPr>
              <w:ind w:left="360"/>
            </w:pPr>
          </w:p>
        </w:tc>
        <w:tc>
          <w:tcPr>
            <w:tcW w:w="0" w:type="auto"/>
            <w:tcMar>
              <w:top w:w="140" w:type="nil"/>
              <w:left w:w="140" w:type="nil"/>
              <w:bottom w:w="140" w:type="nil"/>
              <w:right w:w="140" w:type="nil"/>
            </w:tcMar>
            <w:vAlign w:val="center"/>
          </w:tcPr>
          <w:p w:rsidR="00442DD2" w:rsidRPr="00442DD2" w:rsidRDefault="00442DD2" w:rsidP="002D65D8">
            <w:pPr>
              <w:ind w:left="360"/>
            </w:pPr>
          </w:p>
        </w:tc>
      </w:tr>
    </w:tbl>
    <w:p w:rsidR="00442DD2" w:rsidRPr="00442DD2" w:rsidRDefault="00442DD2" w:rsidP="002D65D8">
      <w:pPr>
        <w:ind w:left="1080"/>
      </w:pPr>
      <w:r w:rsidRPr="00442DD2">
        <w:t>  </w:t>
      </w:r>
    </w:p>
    <w:sectPr w:rsidR="00442DD2" w:rsidRPr="00442DD2" w:rsidSect="00BB2A9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CEEE662"/>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2719D2"/>
    <w:multiLevelType w:val="hybridMultilevel"/>
    <w:tmpl w:val="ECEEE662"/>
    <w:lvl w:ilvl="0" w:tplc="00000001">
      <w:start w:val="4"/>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4B130FD"/>
    <w:multiLevelType w:val="hybridMultilevel"/>
    <w:tmpl w:val="B9F68606"/>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E157A51"/>
    <w:multiLevelType w:val="hybridMultilevel"/>
    <w:tmpl w:val="871E0D4A"/>
    <w:lvl w:ilvl="0" w:tplc="00000001">
      <w:start w:val="7"/>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955A32"/>
    <w:multiLevelType w:val="hybridMultilevel"/>
    <w:tmpl w:val="FDBCBEBC"/>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C709B9"/>
    <w:multiLevelType w:val="hybridMultilevel"/>
    <w:tmpl w:val="ECEEE662"/>
    <w:lvl w:ilvl="0" w:tplc="00000001">
      <w:start w:val="4"/>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42DD2"/>
    <w:rsid w:val="0000424B"/>
    <w:rsid w:val="001B2A76"/>
    <w:rsid w:val="0028324C"/>
    <w:rsid w:val="002D65D8"/>
    <w:rsid w:val="003F28E1"/>
    <w:rsid w:val="00431C58"/>
    <w:rsid w:val="00442DD2"/>
    <w:rsid w:val="006E2B9B"/>
    <w:rsid w:val="009870EE"/>
    <w:rsid w:val="009E339C"/>
    <w:rsid w:val="00A00FE9"/>
    <w:rsid w:val="00BB2A9F"/>
    <w:rsid w:val="00BC107C"/>
    <w:rsid w:val="00BF617A"/>
    <w:rsid w:val="00C33F06"/>
    <w:rsid w:val="00ED67AD"/>
    <w:rsid w:val="00EE0A8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A3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2DD2"/>
    <w:rPr>
      <w:color w:val="0000FF" w:themeColor="hyperlink"/>
      <w:u w:val="single"/>
    </w:rPr>
  </w:style>
  <w:style w:type="paragraph" w:styleId="ListParagraph">
    <w:name w:val="List Paragraph"/>
    <w:basedOn w:val="Normal"/>
    <w:rsid w:val="002D65D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findAnchor('c12-fig-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findAnchor('c12-fig-00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DB53-6407-4C4C-8885-32D1D99A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8881</Characters>
  <Application>Microsoft Office Word</Application>
  <DocSecurity>0</DocSecurity>
  <Lines>74</Lines>
  <Paragraphs>20</Paragraphs>
  <ScaleCrop>false</ScaleCrop>
  <Company>Hewlett-Packard</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nbkv772</dc:creator>
  <cp:lastModifiedBy>nbkv772</cp:lastModifiedBy>
  <cp:revision>2</cp:revision>
  <dcterms:created xsi:type="dcterms:W3CDTF">2010-09-07T14:14:00Z</dcterms:created>
  <dcterms:modified xsi:type="dcterms:W3CDTF">2010-09-07T14:14:00Z</dcterms:modified>
</cp:coreProperties>
</file>