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47" w:rsidRDefault="002F1850">
      <w:r>
        <w:rPr>
          <w:rStyle w:val="Strong"/>
        </w:rPr>
        <w:t xml:space="preserve">2. </w:t>
      </w:r>
      <w:r>
        <w:rPr>
          <w:rFonts w:ascii="Times" w:hAnsi="Times" w:cs="Times"/>
          <w:snapToGrid w:val="0"/>
          <w:color w:val="000000"/>
        </w:rPr>
        <w:t>Sinatra Company reported $540,000 in sales on account last year. The company’s accounts receivable balance increased from $30,000 at the beginning of the year to $54,000 at the end of the year. What was the company's average collection period (age of receivables)?  How may this information be used by managers, investors, or creditors?</w:t>
      </w:r>
    </w:p>
    <w:sectPr w:rsidR="00321847" w:rsidSect="0032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850"/>
    <w:rsid w:val="002F1850"/>
    <w:rsid w:val="0032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1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2012-02-17T20:12:00Z</dcterms:created>
  <dcterms:modified xsi:type="dcterms:W3CDTF">2012-02-17T20:12:00Z</dcterms:modified>
</cp:coreProperties>
</file>