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3F" w:rsidRPr="00ED7E3F" w:rsidRDefault="00ED7E3F" w:rsidP="00ED7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ED7E3F">
        <w:rPr>
          <w:rFonts w:ascii="Times New Roman" w:eastAsia="Times New Roman" w:hAnsi="Times New Roman" w:cs="Times New Roman"/>
          <w:sz w:val="24"/>
          <w:szCs w:val="24"/>
        </w:rPr>
        <w:t>Bittman</w:t>
      </w:r>
      <w:proofErr w:type="spellEnd"/>
      <w:r w:rsidRPr="00ED7E3F">
        <w:rPr>
          <w:rFonts w:ascii="Times New Roman" w:eastAsia="Times New Roman" w:hAnsi="Times New Roman" w:cs="Times New Roman"/>
          <w:sz w:val="24"/>
          <w:szCs w:val="24"/>
        </w:rPr>
        <w:t xml:space="preserve"> Company produces picture frames. During its first year of operations, the company produced 10,000 frames and sold 9,000 frames at $12 per frame. The company’s cost information includes the following: 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/>
      </w:tblPr>
      <w:tblGrid>
        <w:gridCol w:w="4783"/>
        <w:gridCol w:w="2019"/>
      </w:tblGrid>
      <w:tr w:rsidR="00ED7E3F" w:rsidRPr="00ED7E3F" w:rsidTr="00ED7E3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3F" w:rsidRPr="00ED7E3F" w:rsidRDefault="00ED7E3F" w:rsidP="00ED7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3F">
              <w:rPr>
                <w:rFonts w:ascii="Times New Roman" w:eastAsia="Times New Roman" w:hAnsi="Times New Roman" w:cs="Times New Roman"/>
                <w:sz w:val="24"/>
                <w:szCs w:val="24"/>
              </w:rPr>
              <w:t>Direct materials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3F" w:rsidRPr="00ED7E3F" w:rsidRDefault="00ED7E3F" w:rsidP="00ED7E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3F">
              <w:rPr>
                <w:rFonts w:ascii="Times New Roman" w:eastAsia="Times New Roman" w:hAnsi="Times New Roman" w:cs="Times New Roman"/>
                <w:sz w:val="24"/>
                <w:szCs w:val="24"/>
              </w:rPr>
              <w:t>$2.00 per frame</w:t>
            </w:r>
          </w:p>
        </w:tc>
      </w:tr>
      <w:tr w:rsidR="00ED7E3F" w:rsidRPr="00ED7E3F" w:rsidTr="00ED7E3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3F" w:rsidRPr="00ED7E3F" w:rsidRDefault="00ED7E3F" w:rsidP="00ED7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3F">
              <w:rPr>
                <w:rFonts w:ascii="Times New Roman" w:eastAsia="Times New Roman" w:hAnsi="Times New Roman" w:cs="Times New Roman"/>
                <w:sz w:val="24"/>
                <w:szCs w:val="24"/>
              </w:rPr>
              <w:t>Direct labor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3F" w:rsidRPr="00ED7E3F" w:rsidRDefault="00ED7E3F" w:rsidP="00ED7E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3F">
              <w:rPr>
                <w:rFonts w:ascii="Times New Roman" w:eastAsia="Times New Roman" w:hAnsi="Times New Roman" w:cs="Times New Roman"/>
                <w:sz w:val="24"/>
                <w:szCs w:val="24"/>
              </w:rPr>
              <w:t>$3.00 per frame</w:t>
            </w:r>
          </w:p>
        </w:tc>
      </w:tr>
      <w:tr w:rsidR="00ED7E3F" w:rsidRPr="00ED7E3F" w:rsidTr="00ED7E3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3F" w:rsidRPr="00ED7E3F" w:rsidRDefault="00ED7E3F" w:rsidP="00ED7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3F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manufacturing overhead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3F" w:rsidRPr="00ED7E3F" w:rsidRDefault="00ED7E3F" w:rsidP="00ED7E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3F">
              <w:rPr>
                <w:rFonts w:ascii="Times New Roman" w:eastAsia="Times New Roman" w:hAnsi="Times New Roman" w:cs="Times New Roman"/>
                <w:sz w:val="24"/>
                <w:szCs w:val="24"/>
              </w:rPr>
              <w:t>$1.00 per frame</w:t>
            </w:r>
          </w:p>
        </w:tc>
      </w:tr>
      <w:tr w:rsidR="00ED7E3F" w:rsidRPr="00ED7E3F" w:rsidTr="00ED7E3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3F" w:rsidRPr="00ED7E3F" w:rsidRDefault="00ED7E3F" w:rsidP="00ED7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3F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selling and administrative expenses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3F" w:rsidRPr="00ED7E3F" w:rsidRDefault="00ED7E3F" w:rsidP="00ED7E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3F">
              <w:rPr>
                <w:rFonts w:ascii="Times New Roman" w:eastAsia="Times New Roman" w:hAnsi="Times New Roman" w:cs="Times New Roman"/>
                <w:sz w:val="24"/>
                <w:szCs w:val="24"/>
              </w:rPr>
              <w:t>$3.00 per frame</w:t>
            </w:r>
          </w:p>
        </w:tc>
      </w:tr>
      <w:tr w:rsidR="00ED7E3F" w:rsidRPr="00ED7E3F" w:rsidTr="00ED7E3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3F" w:rsidRPr="00ED7E3F" w:rsidRDefault="00ED7E3F" w:rsidP="00ED7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3F">
              <w:rPr>
                <w:rFonts w:ascii="Times New Roman" w:eastAsia="Times New Roman" w:hAnsi="Times New Roman" w:cs="Times New Roman"/>
                <w:sz w:val="24"/>
                <w:szCs w:val="24"/>
              </w:rPr>
              <w:t>Fixed manufacturing overhead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3F" w:rsidRPr="00ED7E3F" w:rsidRDefault="00ED7E3F" w:rsidP="00ED7E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3F">
              <w:rPr>
                <w:rFonts w:ascii="Times New Roman" w:eastAsia="Times New Roman" w:hAnsi="Times New Roman" w:cs="Times New Roman"/>
                <w:sz w:val="24"/>
                <w:szCs w:val="24"/>
              </w:rPr>
              <w:t>$20,000 per year</w:t>
            </w:r>
          </w:p>
        </w:tc>
      </w:tr>
      <w:tr w:rsidR="00ED7E3F" w:rsidRPr="00ED7E3F" w:rsidTr="00ED7E3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3F" w:rsidRPr="00ED7E3F" w:rsidRDefault="00ED7E3F" w:rsidP="00ED7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3F">
              <w:rPr>
                <w:rFonts w:ascii="Times New Roman" w:eastAsia="Times New Roman" w:hAnsi="Times New Roman" w:cs="Times New Roman"/>
                <w:sz w:val="24"/>
                <w:szCs w:val="24"/>
              </w:rPr>
              <w:t>Fixed selling and administrative expenses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3F" w:rsidRPr="00ED7E3F" w:rsidRDefault="00ED7E3F" w:rsidP="00ED7E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3F">
              <w:rPr>
                <w:rFonts w:ascii="Times New Roman" w:eastAsia="Times New Roman" w:hAnsi="Times New Roman" w:cs="Times New Roman"/>
                <w:sz w:val="24"/>
                <w:szCs w:val="24"/>
              </w:rPr>
              <w:t>$5,000 per year</w:t>
            </w:r>
          </w:p>
        </w:tc>
      </w:tr>
    </w:tbl>
    <w:p w:rsidR="00ED7E3F" w:rsidRPr="00ED7E3F" w:rsidRDefault="00ED7E3F" w:rsidP="00ED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E3F">
        <w:rPr>
          <w:rFonts w:ascii="Times New Roman" w:eastAsia="Times New Roman" w:hAnsi="Times New Roman" w:cs="Times New Roman"/>
          <w:sz w:val="24"/>
          <w:szCs w:val="24"/>
        </w:rPr>
        <w:t>Compute the unit product cost under absorption costing.</w:t>
      </w:r>
      <w:r w:rsidRPr="00ED7E3F">
        <w:rPr>
          <w:rFonts w:ascii="Times New Roman" w:eastAsia="Times New Roman" w:hAnsi="Times New Roman" w:cs="Times New Roman"/>
          <w:sz w:val="24"/>
          <w:szCs w:val="24"/>
        </w:rPr>
        <w:br/>
        <w:t>Compute the unit product cost under variable costing.</w:t>
      </w:r>
      <w:r w:rsidRPr="00ED7E3F">
        <w:rPr>
          <w:rFonts w:ascii="Times New Roman" w:eastAsia="Times New Roman" w:hAnsi="Times New Roman" w:cs="Times New Roman"/>
          <w:sz w:val="24"/>
          <w:szCs w:val="24"/>
        </w:rPr>
        <w:br/>
        <w:t>Compute the net income using absorption costing.</w:t>
      </w:r>
      <w:r w:rsidRPr="00ED7E3F">
        <w:rPr>
          <w:rFonts w:ascii="Times New Roman" w:eastAsia="Times New Roman" w:hAnsi="Times New Roman" w:cs="Times New Roman"/>
          <w:sz w:val="24"/>
          <w:szCs w:val="24"/>
        </w:rPr>
        <w:br/>
        <w:t>Compute the net income using variable costing.</w:t>
      </w:r>
      <w:r w:rsidRPr="00ED7E3F">
        <w:rPr>
          <w:rFonts w:ascii="Times New Roman" w:eastAsia="Times New Roman" w:hAnsi="Times New Roman" w:cs="Times New Roman"/>
          <w:sz w:val="24"/>
          <w:szCs w:val="24"/>
        </w:rPr>
        <w:br/>
        <w:t>Explain the difference in the net income determined under the absorption and variable costing methods.</w:t>
      </w:r>
    </w:p>
    <w:p w:rsidR="00C70400" w:rsidRDefault="00C70400"/>
    <w:sectPr w:rsidR="00C70400" w:rsidSect="00C7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E3F"/>
    <w:rsid w:val="00C70400"/>
    <w:rsid w:val="00ED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7E3F"/>
    <w:rPr>
      <w:b/>
      <w:bCs/>
    </w:rPr>
  </w:style>
  <w:style w:type="paragraph" w:styleId="NormalWeb">
    <w:name w:val="Normal (Web)"/>
    <w:basedOn w:val="Normal"/>
    <w:uiPriority w:val="99"/>
    <w:unhideWhenUsed/>
    <w:rsid w:val="00ED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2012-02-06T21:47:00Z</dcterms:created>
  <dcterms:modified xsi:type="dcterms:W3CDTF">2012-02-06T21:47:00Z</dcterms:modified>
</cp:coreProperties>
</file>