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B" w:rsidRDefault="00924AEC">
      <w:r>
        <w:rPr>
          <w:rStyle w:val="Strong"/>
        </w:rPr>
        <w:t xml:space="preserve">3. </w:t>
      </w:r>
      <w:r>
        <w:rPr>
          <w:sz w:val="14"/>
          <w:szCs w:val="14"/>
        </w:rPr>
        <w:t> </w:t>
      </w:r>
      <w:r>
        <w:rPr>
          <w:rFonts w:ascii="Calibri" w:hAnsi="Calibri" w:cs="Calibri"/>
        </w:rPr>
        <w:t>Hatteburg Company uses the weighted-average method in its process costing system. The following data about one of its processing department were taken from the company’s accounting records:  The department’s ending work in process inventory consisted of 36,000 units. The units in the ending work in process inventory were 100% complete with respect to materials and 60% complete with respect to labor and overhead. The costs per equivalent unit for November was $11.00 for materials and $17.00 for labor and overhead.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What was the total cost assigned to the ending work in process inventory in this department?</w:t>
      </w:r>
    </w:p>
    <w:sectPr w:rsidR="0061109B" w:rsidSect="0061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4AEC"/>
    <w:rsid w:val="0061109B"/>
    <w:rsid w:val="0092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2012-02-06T21:43:00Z</dcterms:created>
  <dcterms:modified xsi:type="dcterms:W3CDTF">2012-02-06T21:44:00Z</dcterms:modified>
</cp:coreProperties>
</file>