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7057" w:rsidRPr="00C07057" w:rsidRDefault="00C07057" w:rsidP="00C07057">
      <w:pPr>
        <w:spacing w:after="0"/>
        <w:rPr>
          <w:rFonts w:ascii="Helvetica" w:hAnsi="Helvetica"/>
        </w:rPr>
      </w:pPr>
      <w:r w:rsidRPr="00C07057">
        <w:rPr>
          <w:rFonts w:ascii="Helvetica" w:hAnsi="Helvetica"/>
        </w:rPr>
        <w:t>1. (</w:t>
      </w:r>
      <w:r w:rsidRPr="00C07057">
        <w:rPr>
          <w:rFonts w:ascii="Helvetica" w:hAnsi="Helvetica"/>
          <w:i/>
        </w:rPr>
        <w:t>Compound value</w:t>
      </w:r>
      <w:r w:rsidRPr="00C07057">
        <w:rPr>
          <w:rFonts w:ascii="Helvetica" w:hAnsi="Helvetica"/>
        </w:rPr>
        <w:t>) Stanford Simmons, who recently sold his Porsche, placed   $10,000 in a savings account paying annual compound interest of 6 percent.</w:t>
      </w:r>
    </w:p>
    <w:p w:rsidR="00C07057" w:rsidRPr="00C07057" w:rsidRDefault="00C07057" w:rsidP="00C07057">
      <w:pPr>
        <w:pStyle w:val="ListParagraph"/>
        <w:numPr>
          <w:ilvl w:val="0"/>
          <w:numId w:val="2"/>
        </w:numPr>
        <w:spacing w:after="0"/>
        <w:rPr>
          <w:rFonts w:ascii="Helvetica" w:hAnsi="Helvetica"/>
        </w:rPr>
      </w:pPr>
      <w:r w:rsidRPr="00C07057">
        <w:rPr>
          <w:rFonts w:ascii="Helvetica" w:hAnsi="Helvetica"/>
        </w:rPr>
        <w:t>Calculate the amount compound of money that will have accrued if he leaves the money in the bank for 1, 5, and 15 years.</w:t>
      </w:r>
    </w:p>
    <w:p w:rsidR="00C07057" w:rsidRPr="00C07057" w:rsidRDefault="00C07057" w:rsidP="00C07057">
      <w:pPr>
        <w:pStyle w:val="ListParagraph"/>
        <w:numPr>
          <w:ilvl w:val="0"/>
          <w:numId w:val="2"/>
        </w:numPr>
        <w:spacing w:after="0"/>
        <w:rPr>
          <w:rFonts w:ascii="Helvetica" w:hAnsi="Helvetica"/>
        </w:rPr>
      </w:pPr>
      <w:r w:rsidRPr="00C07057">
        <w:rPr>
          <w:rFonts w:ascii="Helvetica" w:hAnsi="Helvetica"/>
        </w:rPr>
        <w:t>If he moves his money into an account that pays 8 percent or one that pays 10 percent rework part (a) using these new interest rates.</w:t>
      </w:r>
    </w:p>
    <w:p w:rsidR="00C07057" w:rsidRPr="00C07057" w:rsidRDefault="00C07057" w:rsidP="00C07057">
      <w:pPr>
        <w:pStyle w:val="ListParagraph"/>
        <w:numPr>
          <w:ilvl w:val="0"/>
          <w:numId w:val="2"/>
        </w:numPr>
        <w:spacing w:after="0"/>
        <w:rPr>
          <w:rFonts w:ascii="Helvetica" w:hAnsi="Helvetica"/>
        </w:rPr>
      </w:pPr>
      <w:r w:rsidRPr="00C07057">
        <w:rPr>
          <w:rFonts w:ascii="Helvetica" w:hAnsi="Helvetica"/>
        </w:rPr>
        <w:t>What conclusions can you have completed in this problem?</w:t>
      </w:r>
    </w:p>
    <w:p w:rsidR="00D048BE" w:rsidRDefault="00D048BE" w:rsidP="00C07057">
      <w:pPr>
        <w:spacing w:after="0"/>
        <w:rPr>
          <w:rFonts w:ascii="Helvetica" w:hAnsi="Helvetica"/>
        </w:rPr>
      </w:pPr>
    </w:p>
    <w:p w:rsidR="00D048BE" w:rsidRDefault="00D048BE" w:rsidP="00C07057">
      <w:pPr>
        <w:spacing w:after="0"/>
        <w:rPr>
          <w:rFonts w:ascii="Helvetica" w:hAnsi="Helvetica"/>
        </w:rPr>
      </w:pPr>
    </w:p>
    <w:p w:rsidR="00C07057" w:rsidRPr="00C07057" w:rsidRDefault="00C07057" w:rsidP="00C07057">
      <w:pPr>
        <w:spacing w:after="0"/>
        <w:rPr>
          <w:rFonts w:ascii="Helvetica" w:hAnsi="Helvetica"/>
        </w:rPr>
      </w:pPr>
    </w:p>
    <w:p w:rsidR="00C07057" w:rsidRDefault="00C07057" w:rsidP="00C07057">
      <w:pPr>
        <w:spacing w:after="0"/>
        <w:rPr>
          <w:rFonts w:ascii="Helvetica" w:hAnsi="Helvetica"/>
        </w:rPr>
      </w:pPr>
      <w:r w:rsidRPr="00C07057">
        <w:rPr>
          <w:rFonts w:ascii="Helvetica" w:hAnsi="Helvetica"/>
        </w:rPr>
        <w:t>2. (</w:t>
      </w:r>
      <w:r w:rsidRPr="00C07057">
        <w:rPr>
          <w:rFonts w:ascii="Helvetica" w:hAnsi="Helvetica"/>
          <w:i/>
        </w:rPr>
        <w:t xml:space="preserve">Compound interest with </w:t>
      </w:r>
      <w:proofErr w:type="spellStart"/>
      <w:r w:rsidRPr="00C07057">
        <w:rPr>
          <w:rFonts w:ascii="Helvetica" w:hAnsi="Helvetica"/>
          <w:i/>
        </w:rPr>
        <w:t>nonannual</w:t>
      </w:r>
      <w:proofErr w:type="spellEnd"/>
      <w:r w:rsidRPr="00C07057">
        <w:rPr>
          <w:rFonts w:ascii="Helvetica" w:hAnsi="Helvetica"/>
          <w:i/>
        </w:rPr>
        <w:t xml:space="preserve"> periods</w:t>
      </w:r>
      <w:r w:rsidRPr="00C07057">
        <w:rPr>
          <w:rFonts w:ascii="Helvetica" w:hAnsi="Helvetica"/>
        </w:rPr>
        <w:t>) Calculate the amount of money that will be in the each of the following accounts at the end of the given deposit period.</w:t>
      </w:r>
    </w:p>
    <w:p w:rsidR="00C07057" w:rsidRDefault="00C07057" w:rsidP="00C07057">
      <w:pPr>
        <w:spacing w:after="0"/>
        <w:rPr>
          <w:rFonts w:ascii="Helvetica" w:hAnsi="Helvetica"/>
        </w:rPr>
      </w:pPr>
    </w:p>
    <w:tbl>
      <w:tblPr>
        <w:tblStyle w:val="TableGrid"/>
        <w:tblW w:w="0" w:type="auto"/>
        <w:tblLook w:val="00BF"/>
      </w:tblPr>
      <w:tblGrid>
        <w:gridCol w:w="1908"/>
        <w:gridCol w:w="1634"/>
        <w:gridCol w:w="1771"/>
        <w:gridCol w:w="1771"/>
        <w:gridCol w:w="1772"/>
      </w:tblGrid>
      <w:tr w:rsidR="00C07057" w:rsidRPr="003137FC">
        <w:tc>
          <w:tcPr>
            <w:tcW w:w="1908" w:type="dxa"/>
          </w:tcPr>
          <w:p w:rsidR="00C07057" w:rsidRPr="003137FC" w:rsidRDefault="00C07057" w:rsidP="00C07057">
            <w:pPr>
              <w:jc w:val="center"/>
              <w:rPr>
                <w:rFonts w:ascii="Helvetica" w:hAnsi="Helvetica"/>
                <w:b/>
                <w:sz w:val="20"/>
              </w:rPr>
            </w:pPr>
            <w:r w:rsidRPr="003137FC">
              <w:rPr>
                <w:rFonts w:ascii="Helvetica" w:hAnsi="Helvetica"/>
                <w:b/>
                <w:sz w:val="20"/>
              </w:rPr>
              <w:t>Account</w:t>
            </w:r>
          </w:p>
        </w:tc>
        <w:tc>
          <w:tcPr>
            <w:tcW w:w="1634" w:type="dxa"/>
          </w:tcPr>
          <w:p w:rsidR="00C07057" w:rsidRPr="003137FC" w:rsidRDefault="00C07057" w:rsidP="00C07057">
            <w:pPr>
              <w:jc w:val="center"/>
              <w:rPr>
                <w:rFonts w:ascii="Helvetica" w:hAnsi="Helvetica"/>
                <w:b/>
                <w:sz w:val="20"/>
              </w:rPr>
            </w:pPr>
            <w:r w:rsidRPr="003137FC">
              <w:rPr>
                <w:rFonts w:ascii="Helvetica" w:hAnsi="Helvetica"/>
                <w:b/>
                <w:sz w:val="20"/>
              </w:rPr>
              <w:t>Amount Deposited</w:t>
            </w:r>
          </w:p>
        </w:tc>
        <w:tc>
          <w:tcPr>
            <w:tcW w:w="1771" w:type="dxa"/>
          </w:tcPr>
          <w:p w:rsidR="00C07057" w:rsidRPr="003137FC" w:rsidRDefault="00C07057" w:rsidP="00C07057">
            <w:pPr>
              <w:jc w:val="center"/>
              <w:rPr>
                <w:rFonts w:ascii="Helvetica" w:hAnsi="Helvetica"/>
                <w:b/>
                <w:sz w:val="20"/>
              </w:rPr>
            </w:pPr>
            <w:r w:rsidRPr="003137FC">
              <w:rPr>
                <w:rFonts w:ascii="Helvetica" w:hAnsi="Helvetica"/>
                <w:b/>
                <w:sz w:val="20"/>
              </w:rPr>
              <w:t>Annual Interest Rate</w:t>
            </w:r>
          </w:p>
        </w:tc>
        <w:tc>
          <w:tcPr>
            <w:tcW w:w="1771" w:type="dxa"/>
          </w:tcPr>
          <w:p w:rsidR="00C07057" w:rsidRPr="003137FC" w:rsidRDefault="00C07057" w:rsidP="00C07057">
            <w:pPr>
              <w:jc w:val="center"/>
              <w:rPr>
                <w:rFonts w:ascii="Helvetica" w:hAnsi="Helvetica"/>
                <w:b/>
                <w:sz w:val="20"/>
              </w:rPr>
            </w:pPr>
            <w:r w:rsidRPr="003137FC">
              <w:rPr>
                <w:rFonts w:ascii="Helvetica" w:hAnsi="Helvetica"/>
                <w:b/>
                <w:sz w:val="20"/>
              </w:rPr>
              <w:t>Compounding Period (Months)</w:t>
            </w:r>
          </w:p>
        </w:tc>
        <w:tc>
          <w:tcPr>
            <w:tcW w:w="1772" w:type="dxa"/>
          </w:tcPr>
          <w:p w:rsidR="00C07057" w:rsidRPr="003137FC" w:rsidRDefault="00C07057" w:rsidP="00C07057">
            <w:pPr>
              <w:jc w:val="center"/>
              <w:rPr>
                <w:rFonts w:ascii="Helvetica" w:hAnsi="Helvetica"/>
                <w:b/>
                <w:sz w:val="20"/>
              </w:rPr>
            </w:pPr>
            <w:r w:rsidRPr="003137FC">
              <w:rPr>
                <w:rFonts w:ascii="Helvetica" w:hAnsi="Helvetica"/>
                <w:b/>
                <w:sz w:val="20"/>
              </w:rPr>
              <w:t>Deposit Period (Years)</w:t>
            </w:r>
          </w:p>
        </w:tc>
      </w:tr>
      <w:tr w:rsidR="00C07057">
        <w:tc>
          <w:tcPr>
            <w:tcW w:w="1908" w:type="dxa"/>
          </w:tcPr>
          <w:p w:rsidR="00C07057" w:rsidRPr="00C07057" w:rsidRDefault="00C07057" w:rsidP="00C07057">
            <w:pPr>
              <w:rPr>
                <w:rFonts w:ascii="Helvetica" w:hAnsi="Helvetica"/>
                <w:sz w:val="20"/>
              </w:rPr>
            </w:pPr>
            <w:r w:rsidRPr="00C07057">
              <w:rPr>
                <w:rFonts w:ascii="Helvetica" w:hAnsi="Helvetica"/>
                <w:sz w:val="20"/>
              </w:rPr>
              <w:t>Theodore Logan III</w:t>
            </w:r>
          </w:p>
        </w:tc>
        <w:tc>
          <w:tcPr>
            <w:tcW w:w="1634" w:type="dxa"/>
          </w:tcPr>
          <w:p w:rsidR="00C07057" w:rsidRPr="00C07057" w:rsidRDefault="00C07057" w:rsidP="00C07057">
            <w:pPr>
              <w:rPr>
                <w:rFonts w:ascii="Helvetica" w:hAnsi="Helvetica"/>
                <w:sz w:val="20"/>
              </w:rPr>
            </w:pPr>
            <w:r>
              <w:rPr>
                <w:rFonts w:ascii="Helvetica" w:hAnsi="Helvetica"/>
                <w:sz w:val="20"/>
              </w:rPr>
              <w:t xml:space="preserve">   $     1,000</w:t>
            </w:r>
          </w:p>
        </w:tc>
        <w:tc>
          <w:tcPr>
            <w:tcW w:w="1771" w:type="dxa"/>
          </w:tcPr>
          <w:p w:rsidR="00C07057" w:rsidRPr="00C07057" w:rsidRDefault="003137FC" w:rsidP="003137FC">
            <w:pPr>
              <w:jc w:val="center"/>
              <w:rPr>
                <w:rFonts w:ascii="Helvetica" w:hAnsi="Helvetica"/>
                <w:sz w:val="20"/>
              </w:rPr>
            </w:pPr>
            <w:r>
              <w:rPr>
                <w:rFonts w:ascii="Helvetica" w:hAnsi="Helvetica"/>
                <w:sz w:val="20"/>
              </w:rPr>
              <w:t xml:space="preserve">    10 %</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12</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10</w:t>
            </w:r>
          </w:p>
        </w:tc>
      </w:tr>
      <w:tr w:rsidR="00C07057">
        <w:tc>
          <w:tcPr>
            <w:tcW w:w="1908" w:type="dxa"/>
          </w:tcPr>
          <w:p w:rsidR="00C07057" w:rsidRPr="00C07057" w:rsidRDefault="00C07057" w:rsidP="00C07057">
            <w:pPr>
              <w:rPr>
                <w:rFonts w:ascii="Helvetica" w:hAnsi="Helvetica"/>
                <w:sz w:val="20"/>
              </w:rPr>
            </w:pPr>
            <w:proofErr w:type="spellStart"/>
            <w:r w:rsidRPr="00C07057">
              <w:rPr>
                <w:rFonts w:ascii="Helvetica" w:hAnsi="Helvetica"/>
                <w:sz w:val="20"/>
              </w:rPr>
              <w:t>Vernell</w:t>
            </w:r>
            <w:proofErr w:type="spellEnd"/>
            <w:r w:rsidRPr="00C07057">
              <w:rPr>
                <w:rFonts w:ascii="Helvetica" w:hAnsi="Helvetica"/>
                <w:sz w:val="20"/>
              </w:rPr>
              <w:t xml:space="preserve"> Coles</w:t>
            </w:r>
          </w:p>
        </w:tc>
        <w:tc>
          <w:tcPr>
            <w:tcW w:w="1634" w:type="dxa"/>
          </w:tcPr>
          <w:p w:rsidR="00C07057" w:rsidRPr="00C07057" w:rsidRDefault="00C07057" w:rsidP="00C07057">
            <w:pPr>
              <w:rPr>
                <w:rFonts w:ascii="Helvetica" w:hAnsi="Helvetica"/>
                <w:sz w:val="20"/>
              </w:rPr>
            </w:pPr>
            <w:r>
              <w:rPr>
                <w:rFonts w:ascii="Helvetica" w:hAnsi="Helvetica"/>
                <w:sz w:val="20"/>
              </w:rPr>
              <w:t xml:space="preserve">        95,000</w:t>
            </w:r>
          </w:p>
        </w:tc>
        <w:tc>
          <w:tcPr>
            <w:tcW w:w="1771" w:type="dxa"/>
          </w:tcPr>
          <w:p w:rsidR="00C07057" w:rsidRPr="00C07057" w:rsidRDefault="003137FC" w:rsidP="003137FC">
            <w:pPr>
              <w:jc w:val="center"/>
              <w:rPr>
                <w:rFonts w:ascii="Helvetica" w:hAnsi="Helvetica"/>
                <w:sz w:val="20"/>
              </w:rPr>
            </w:pPr>
            <w:r>
              <w:rPr>
                <w:rFonts w:ascii="Helvetica" w:hAnsi="Helvetica"/>
                <w:sz w:val="20"/>
              </w:rPr>
              <w:t>12</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1</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1</w:t>
            </w:r>
          </w:p>
        </w:tc>
      </w:tr>
      <w:tr w:rsidR="00C07057">
        <w:tc>
          <w:tcPr>
            <w:tcW w:w="1908" w:type="dxa"/>
          </w:tcPr>
          <w:p w:rsidR="00C07057" w:rsidRPr="00C07057" w:rsidRDefault="00C07057" w:rsidP="00C07057">
            <w:pPr>
              <w:rPr>
                <w:rFonts w:ascii="Helvetica" w:hAnsi="Helvetica"/>
                <w:sz w:val="20"/>
              </w:rPr>
            </w:pPr>
            <w:r w:rsidRPr="00C07057">
              <w:rPr>
                <w:rFonts w:ascii="Helvetica" w:hAnsi="Helvetica"/>
                <w:sz w:val="20"/>
              </w:rPr>
              <w:t>Thomas Elliott</w:t>
            </w:r>
          </w:p>
        </w:tc>
        <w:tc>
          <w:tcPr>
            <w:tcW w:w="1634" w:type="dxa"/>
          </w:tcPr>
          <w:p w:rsidR="00C07057" w:rsidRPr="00C07057" w:rsidRDefault="00C07057" w:rsidP="00C07057">
            <w:pPr>
              <w:rPr>
                <w:rFonts w:ascii="Helvetica" w:hAnsi="Helvetica"/>
                <w:sz w:val="20"/>
              </w:rPr>
            </w:pPr>
            <w:r>
              <w:rPr>
                <w:rFonts w:ascii="Helvetica" w:hAnsi="Helvetica"/>
                <w:sz w:val="20"/>
              </w:rPr>
              <w:t xml:space="preserve">          8,000</w:t>
            </w:r>
          </w:p>
        </w:tc>
        <w:tc>
          <w:tcPr>
            <w:tcW w:w="1771" w:type="dxa"/>
          </w:tcPr>
          <w:p w:rsidR="00C07057" w:rsidRPr="00C07057" w:rsidRDefault="003137FC" w:rsidP="003137FC">
            <w:pPr>
              <w:jc w:val="center"/>
              <w:rPr>
                <w:rFonts w:ascii="Helvetica" w:hAnsi="Helvetica"/>
                <w:sz w:val="20"/>
              </w:rPr>
            </w:pPr>
            <w:r>
              <w:rPr>
                <w:rFonts w:ascii="Helvetica" w:hAnsi="Helvetica"/>
                <w:sz w:val="20"/>
              </w:rPr>
              <w:t>12</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2</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2</w:t>
            </w:r>
          </w:p>
        </w:tc>
      </w:tr>
      <w:tr w:rsidR="00C07057">
        <w:tc>
          <w:tcPr>
            <w:tcW w:w="1908" w:type="dxa"/>
          </w:tcPr>
          <w:p w:rsidR="00C07057" w:rsidRPr="00C07057" w:rsidRDefault="00C07057" w:rsidP="00C07057">
            <w:pPr>
              <w:rPr>
                <w:rFonts w:ascii="Helvetica" w:hAnsi="Helvetica"/>
                <w:sz w:val="20"/>
              </w:rPr>
            </w:pPr>
            <w:r w:rsidRPr="00C07057">
              <w:rPr>
                <w:rFonts w:ascii="Helvetica" w:hAnsi="Helvetica"/>
                <w:sz w:val="20"/>
              </w:rPr>
              <w:t>Wayne Robinson</w:t>
            </w:r>
          </w:p>
        </w:tc>
        <w:tc>
          <w:tcPr>
            <w:tcW w:w="1634" w:type="dxa"/>
          </w:tcPr>
          <w:p w:rsidR="00C07057" w:rsidRPr="00C07057" w:rsidRDefault="00C07057" w:rsidP="00C07057">
            <w:pPr>
              <w:rPr>
                <w:rFonts w:ascii="Helvetica" w:hAnsi="Helvetica"/>
                <w:sz w:val="20"/>
              </w:rPr>
            </w:pPr>
            <w:r>
              <w:rPr>
                <w:rFonts w:ascii="Helvetica" w:hAnsi="Helvetica"/>
                <w:sz w:val="20"/>
              </w:rPr>
              <w:t xml:space="preserve">      120,000</w:t>
            </w:r>
          </w:p>
        </w:tc>
        <w:tc>
          <w:tcPr>
            <w:tcW w:w="1771" w:type="dxa"/>
          </w:tcPr>
          <w:p w:rsidR="00C07057" w:rsidRPr="00C07057" w:rsidRDefault="003137FC" w:rsidP="003137FC">
            <w:pPr>
              <w:jc w:val="center"/>
              <w:rPr>
                <w:rFonts w:ascii="Helvetica" w:hAnsi="Helvetica"/>
                <w:sz w:val="20"/>
              </w:rPr>
            </w:pPr>
            <w:r>
              <w:rPr>
                <w:rFonts w:ascii="Helvetica" w:hAnsi="Helvetica"/>
                <w:sz w:val="20"/>
              </w:rPr>
              <w:t>8</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3</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2</w:t>
            </w:r>
          </w:p>
        </w:tc>
      </w:tr>
      <w:tr w:rsidR="00C07057">
        <w:tc>
          <w:tcPr>
            <w:tcW w:w="1908" w:type="dxa"/>
          </w:tcPr>
          <w:p w:rsidR="00C07057" w:rsidRPr="00C07057" w:rsidRDefault="00C07057" w:rsidP="00C07057">
            <w:pPr>
              <w:rPr>
                <w:rFonts w:ascii="Helvetica" w:hAnsi="Helvetica"/>
                <w:sz w:val="20"/>
              </w:rPr>
            </w:pPr>
            <w:r w:rsidRPr="00C07057">
              <w:rPr>
                <w:rFonts w:ascii="Helvetica" w:hAnsi="Helvetica"/>
                <w:sz w:val="20"/>
              </w:rPr>
              <w:t>Eugene Chung</w:t>
            </w:r>
          </w:p>
        </w:tc>
        <w:tc>
          <w:tcPr>
            <w:tcW w:w="1634" w:type="dxa"/>
          </w:tcPr>
          <w:p w:rsidR="00C07057" w:rsidRPr="00C07057" w:rsidRDefault="00C07057" w:rsidP="00C07057">
            <w:pPr>
              <w:rPr>
                <w:rFonts w:ascii="Helvetica" w:hAnsi="Helvetica"/>
                <w:sz w:val="20"/>
              </w:rPr>
            </w:pPr>
            <w:r>
              <w:rPr>
                <w:rFonts w:ascii="Helvetica" w:hAnsi="Helvetica"/>
                <w:sz w:val="20"/>
              </w:rPr>
              <w:t xml:space="preserve">        </w:t>
            </w:r>
            <w:r w:rsidRPr="00C07057">
              <w:rPr>
                <w:rFonts w:ascii="Helvetica" w:hAnsi="Helvetica"/>
                <w:sz w:val="20"/>
              </w:rPr>
              <w:t>30,000</w:t>
            </w:r>
          </w:p>
        </w:tc>
        <w:tc>
          <w:tcPr>
            <w:tcW w:w="1771" w:type="dxa"/>
          </w:tcPr>
          <w:p w:rsidR="00C07057" w:rsidRPr="00C07057" w:rsidRDefault="003137FC" w:rsidP="003137FC">
            <w:pPr>
              <w:jc w:val="center"/>
              <w:rPr>
                <w:rFonts w:ascii="Helvetica" w:hAnsi="Helvetica"/>
                <w:sz w:val="20"/>
              </w:rPr>
            </w:pPr>
            <w:r>
              <w:rPr>
                <w:rFonts w:ascii="Helvetica" w:hAnsi="Helvetica"/>
                <w:sz w:val="20"/>
              </w:rPr>
              <w:t>10</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6</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4</w:t>
            </w:r>
          </w:p>
        </w:tc>
      </w:tr>
      <w:tr w:rsidR="00C07057">
        <w:tc>
          <w:tcPr>
            <w:tcW w:w="1908" w:type="dxa"/>
          </w:tcPr>
          <w:p w:rsidR="00C07057" w:rsidRPr="00C07057" w:rsidRDefault="00C07057" w:rsidP="00C07057">
            <w:pPr>
              <w:rPr>
                <w:rFonts w:ascii="Helvetica" w:hAnsi="Helvetica"/>
                <w:sz w:val="20"/>
              </w:rPr>
            </w:pPr>
            <w:r w:rsidRPr="00C07057">
              <w:rPr>
                <w:rFonts w:ascii="Helvetica" w:hAnsi="Helvetica"/>
                <w:sz w:val="20"/>
              </w:rPr>
              <w:t>Kelly Cravens</w:t>
            </w:r>
          </w:p>
        </w:tc>
        <w:tc>
          <w:tcPr>
            <w:tcW w:w="1634" w:type="dxa"/>
          </w:tcPr>
          <w:p w:rsidR="00C07057" w:rsidRPr="00C07057" w:rsidRDefault="00C07057" w:rsidP="00C07057">
            <w:pPr>
              <w:rPr>
                <w:rFonts w:ascii="Helvetica" w:hAnsi="Helvetica"/>
                <w:sz w:val="20"/>
              </w:rPr>
            </w:pPr>
            <w:r>
              <w:rPr>
                <w:rFonts w:ascii="Helvetica" w:hAnsi="Helvetica"/>
                <w:sz w:val="20"/>
              </w:rPr>
              <w:t xml:space="preserve">        </w:t>
            </w:r>
            <w:r w:rsidRPr="00C07057">
              <w:rPr>
                <w:rFonts w:ascii="Helvetica" w:hAnsi="Helvetica"/>
                <w:sz w:val="20"/>
              </w:rPr>
              <w:t>15,000</w:t>
            </w:r>
          </w:p>
        </w:tc>
        <w:tc>
          <w:tcPr>
            <w:tcW w:w="1771" w:type="dxa"/>
          </w:tcPr>
          <w:p w:rsidR="00C07057" w:rsidRPr="00C07057" w:rsidRDefault="003137FC" w:rsidP="003137FC">
            <w:pPr>
              <w:jc w:val="center"/>
              <w:rPr>
                <w:rFonts w:ascii="Helvetica" w:hAnsi="Helvetica"/>
                <w:sz w:val="20"/>
              </w:rPr>
            </w:pPr>
            <w:r>
              <w:rPr>
                <w:rFonts w:ascii="Helvetica" w:hAnsi="Helvetica"/>
                <w:sz w:val="20"/>
              </w:rPr>
              <w:t>12</w:t>
            </w:r>
          </w:p>
        </w:tc>
        <w:tc>
          <w:tcPr>
            <w:tcW w:w="1771" w:type="dxa"/>
          </w:tcPr>
          <w:p w:rsidR="00C07057" w:rsidRPr="003137FC" w:rsidRDefault="003137FC" w:rsidP="003137FC">
            <w:pPr>
              <w:jc w:val="center"/>
              <w:rPr>
                <w:rFonts w:ascii="Helvetica" w:hAnsi="Helvetica"/>
                <w:sz w:val="20"/>
              </w:rPr>
            </w:pPr>
            <w:r w:rsidRPr="003137FC">
              <w:rPr>
                <w:rFonts w:ascii="Helvetica" w:hAnsi="Helvetica"/>
                <w:sz w:val="20"/>
              </w:rPr>
              <w:t>4</w:t>
            </w:r>
          </w:p>
        </w:tc>
        <w:tc>
          <w:tcPr>
            <w:tcW w:w="1772" w:type="dxa"/>
          </w:tcPr>
          <w:p w:rsidR="00C07057" w:rsidRPr="003137FC" w:rsidRDefault="003137FC" w:rsidP="003137FC">
            <w:pPr>
              <w:jc w:val="center"/>
              <w:rPr>
                <w:rFonts w:ascii="Helvetica" w:hAnsi="Helvetica"/>
                <w:sz w:val="20"/>
              </w:rPr>
            </w:pPr>
            <w:r w:rsidRPr="003137FC">
              <w:rPr>
                <w:rFonts w:ascii="Helvetica" w:hAnsi="Helvetica"/>
                <w:sz w:val="20"/>
              </w:rPr>
              <w:t>3</w:t>
            </w:r>
          </w:p>
        </w:tc>
      </w:tr>
    </w:tbl>
    <w:p w:rsidR="00D048BE" w:rsidRDefault="00D048BE" w:rsidP="00C07057">
      <w:pPr>
        <w:spacing w:after="0"/>
        <w:rPr>
          <w:rFonts w:ascii="Helvetica" w:hAnsi="Helvetica"/>
        </w:rPr>
      </w:pPr>
    </w:p>
    <w:p w:rsidR="00D048BE" w:rsidRDefault="00D048BE" w:rsidP="00C07057">
      <w:pPr>
        <w:spacing w:after="0"/>
        <w:rPr>
          <w:rFonts w:ascii="Helvetica" w:hAnsi="Helvetica"/>
        </w:rPr>
      </w:pPr>
    </w:p>
    <w:p w:rsidR="003137FC" w:rsidRDefault="003137FC" w:rsidP="00C07057">
      <w:pPr>
        <w:spacing w:after="0"/>
        <w:rPr>
          <w:rFonts w:ascii="Helvetica" w:hAnsi="Helvetica"/>
        </w:rPr>
      </w:pPr>
    </w:p>
    <w:p w:rsidR="003137FC" w:rsidRDefault="003137FC" w:rsidP="003137FC">
      <w:pPr>
        <w:spacing w:after="0"/>
        <w:rPr>
          <w:rFonts w:ascii="Helvetica" w:hAnsi="Helvetica"/>
        </w:rPr>
      </w:pPr>
      <w:r>
        <w:rPr>
          <w:rFonts w:ascii="Helvetica" w:hAnsi="Helvetica"/>
        </w:rPr>
        <w:t>3. (</w:t>
      </w:r>
      <w:r w:rsidRPr="00D048BE">
        <w:rPr>
          <w:rFonts w:ascii="Helvetica" w:hAnsi="Helvetica"/>
          <w:i/>
        </w:rPr>
        <w:t xml:space="preserve">Compound interest with </w:t>
      </w:r>
      <w:proofErr w:type="spellStart"/>
      <w:r w:rsidRPr="00D048BE">
        <w:rPr>
          <w:rFonts w:ascii="Helvetica" w:hAnsi="Helvetica"/>
          <w:i/>
        </w:rPr>
        <w:t>nonannual</w:t>
      </w:r>
      <w:proofErr w:type="spellEnd"/>
      <w:r w:rsidRPr="00D048BE">
        <w:rPr>
          <w:rFonts w:ascii="Helvetica" w:hAnsi="Helvetica"/>
          <w:i/>
        </w:rPr>
        <w:t xml:space="preserve"> periods</w:t>
      </w:r>
      <w:r>
        <w:rPr>
          <w:rFonts w:ascii="Helvetica" w:hAnsi="Helvetica"/>
        </w:rPr>
        <w:t>)</w:t>
      </w:r>
    </w:p>
    <w:p w:rsidR="003137FC" w:rsidRPr="003137FC" w:rsidRDefault="003137FC" w:rsidP="003137FC">
      <w:pPr>
        <w:pStyle w:val="ListParagraph"/>
        <w:numPr>
          <w:ilvl w:val="0"/>
          <w:numId w:val="11"/>
        </w:numPr>
        <w:spacing w:after="0"/>
        <w:rPr>
          <w:rFonts w:ascii="Helvetica" w:hAnsi="Helvetica"/>
        </w:rPr>
      </w:pPr>
      <w:r w:rsidRPr="003137FC">
        <w:rPr>
          <w:rFonts w:ascii="Helvetica" w:hAnsi="Helvetica"/>
        </w:rPr>
        <w:t>Calculate the future sum of $5,000, given that it will be held in the bank 5 years at an annual interest rate of 6 percent.</w:t>
      </w:r>
    </w:p>
    <w:p w:rsidR="003137FC" w:rsidRDefault="003137FC" w:rsidP="003137FC">
      <w:pPr>
        <w:pStyle w:val="ListParagraph"/>
        <w:numPr>
          <w:ilvl w:val="0"/>
          <w:numId w:val="11"/>
        </w:numPr>
        <w:spacing w:after="0"/>
        <w:rPr>
          <w:rFonts w:ascii="Helvetica" w:hAnsi="Helvetica"/>
        </w:rPr>
      </w:pPr>
      <w:r>
        <w:rPr>
          <w:rFonts w:ascii="Helvetica" w:hAnsi="Helvetica"/>
        </w:rPr>
        <w:t>Recalculate part (a) using compounding periods that are (1) semiannual and (2) bimonthly.</w:t>
      </w:r>
    </w:p>
    <w:p w:rsidR="003137FC" w:rsidRDefault="003137FC" w:rsidP="003137FC">
      <w:pPr>
        <w:pStyle w:val="ListParagraph"/>
        <w:numPr>
          <w:ilvl w:val="0"/>
          <w:numId w:val="11"/>
        </w:numPr>
        <w:spacing w:after="0"/>
        <w:rPr>
          <w:rFonts w:ascii="Helvetica" w:hAnsi="Helvetica"/>
        </w:rPr>
      </w:pPr>
      <w:r>
        <w:rPr>
          <w:rFonts w:ascii="Helvetica" w:hAnsi="Helvetica"/>
        </w:rPr>
        <w:t>Recalculate parts (a) and (b) for a 12 percent annual interest rate.</w:t>
      </w:r>
    </w:p>
    <w:p w:rsidR="00D048BE" w:rsidRDefault="00D048BE" w:rsidP="003137FC">
      <w:pPr>
        <w:pStyle w:val="ListParagraph"/>
        <w:numPr>
          <w:ilvl w:val="0"/>
          <w:numId w:val="11"/>
        </w:numPr>
        <w:spacing w:after="0"/>
        <w:rPr>
          <w:rFonts w:ascii="Helvetica" w:hAnsi="Helvetica"/>
        </w:rPr>
      </w:pPr>
      <w:r>
        <w:rPr>
          <w:rFonts w:ascii="Helvetica" w:hAnsi="Helvetica"/>
        </w:rPr>
        <w:t>Recalculate part (a) using a time horizon of 12 years (annual interest rate is still 6 percent).</w:t>
      </w:r>
    </w:p>
    <w:p w:rsidR="003137FC" w:rsidRPr="003137FC" w:rsidRDefault="00D048BE" w:rsidP="003137FC">
      <w:pPr>
        <w:pStyle w:val="ListParagraph"/>
        <w:numPr>
          <w:ilvl w:val="0"/>
          <w:numId w:val="11"/>
        </w:numPr>
        <w:spacing w:after="0"/>
        <w:rPr>
          <w:rFonts w:ascii="Helvetica" w:hAnsi="Helvetica"/>
        </w:rPr>
      </w:pPr>
      <w:r>
        <w:rPr>
          <w:rFonts w:ascii="Helvetica" w:hAnsi="Helvetica"/>
        </w:rPr>
        <w:t>With respect to the effect of changes in the stated interest rate and holding periods of future sums in parts (c) and (d), what conclusions do you draw when you compare these figures with the answers found in parts (a) and (b)?</w:t>
      </w:r>
    </w:p>
    <w:p w:rsidR="00C07057" w:rsidRPr="00C07057" w:rsidRDefault="00C07057" w:rsidP="00C07057">
      <w:pPr>
        <w:spacing w:after="0"/>
        <w:rPr>
          <w:rFonts w:ascii="Helvetica" w:hAnsi="Helvetica"/>
        </w:rPr>
      </w:pPr>
    </w:p>
    <w:sectPr w:rsidR="00C07057" w:rsidRPr="00C07057" w:rsidSect="00C070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606D6D"/>
    <w:multiLevelType w:val="hybridMultilevel"/>
    <w:tmpl w:val="50924A5E"/>
    <w:lvl w:ilvl="0" w:tplc="E396A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E1CCC"/>
    <w:multiLevelType w:val="hybridMultilevel"/>
    <w:tmpl w:val="0B147CF8"/>
    <w:lvl w:ilvl="0" w:tplc="2B885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02EA0"/>
    <w:multiLevelType w:val="hybridMultilevel"/>
    <w:tmpl w:val="C558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24CE6"/>
    <w:multiLevelType w:val="hybridMultilevel"/>
    <w:tmpl w:val="DF5E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0A5B"/>
    <w:multiLevelType w:val="hybridMultilevel"/>
    <w:tmpl w:val="9F0E67A4"/>
    <w:lvl w:ilvl="0" w:tplc="2B885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E0473"/>
    <w:multiLevelType w:val="hybridMultilevel"/>
    <w:tmpl w:val="8E0C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47E8C"/>
    <w:multiLevelType w:val="hybridMultilevel"/>
    <w:tmpl w:val="1BB0A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BB5363"/>
    <w:multiLevelType w:val="hybridMultilevel"/>
    <w:tmpl w:val="657CA8CE"/>
    <w:lvl w:ilvl="0" w:tplc="2B88538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726A37"/>
    <w:multiLevelType w:val="hybridMultilevel"/>
    <w:tmpl w:val="25941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C0750C"/>
    <w:multiLevelType w:val="hybridMultilevel"/>
    <w:tmpl w:val="2B4A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D616D"/>
    <w:multiLevelType w:val="hybridMultilevel"/>
    <w:tmpl w:val="21F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2"/>
  </w:num>
  <w:num w:numId="6">
    <w:abstractNumId w:val="9"/>
  </w:num>
  <w:num w:numId="7">
    <w:abstractNumId w:val="4"/>
  </w:num>
  <w:num w:numId="8">
    <w:abstractNumId w:val="8"/>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7057"/>
    <w:rsid w:val="003137FC"/>
    <w:rsid w:val="00C07057"/>
    <w:rsid w:val="00D048BE"/>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B32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7057"/>
    <w:pPr>
      <w:ind w:left="720"/>
      <w:contextualSpacing/>
    </w:pPr>
  </w:style>
  <w:style w:type="table" w:styleId="TableGrid">
    <w:name w:val="Table Grid"/>
    <w:basedOn w:val="TableNormal"/>
    <w:rsid w:val="00C0705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cp:lastModifiedBy>Jay</cp:lastModifiedBy>
  <cp:revision>1</cp:revision>
  <dcterms:created xsi:type="dcterms:W3CDTF">2012-02-05T20:27:00Z</dcterms:created>
  <dcterms:modified xsi:type="dcterms:W3CDTF">2012-02-05T21:08:00Z</dcterms:modified>
</cp:coreProperties>
</file>