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E3" w:rsidRDefault="00203AE3" w:rsidP="00203AE3">
      <w:r>
        <w:t>Canada and Philippines – Data for Comparison to Help Develop HR Strategy</w:t>
      </w:r>
    </w:p>
    <w:tbl>
      <w:tblPr>
        <w:tblStyle w:val="TableGrid"/>
        <w:tblW w:w="0" w:type="auto"/>
        <w:tblLook w:val="04A0"/>
      </w:tblPr>
      <w:tblGrid>
        <w:gridCol w:w="3192"/>
        <w:gridCol w:w="3192"/>
        <w:gridCol w:w="3192"/>
      </w:tblGrid>
      <w:tr w:rsidR="00203AE3" w:rsidTr="006116AB">
        <w:tc>
          <w:tcPr>
            <w:tcW w:w="3192" w:type="dxa"/>
          </w:tcPr>
          <w:p w:rsidR="00203AE3" w:rsidRPr="008B30EA" w:rsidRDefault="00203AE3" w:rsidP="006116AB">
            <w:pPr>
              <w:jc w:val="center"/>
              <w:rPr>
                <w:b/>
              </w:rPr>
            </w:pPr>
            <w:r w:rsidRPr="008B30EA">
              <w:rPr>
                <w:b/>
              </w:rPr>
              <w:t>HR Relevant Factors</w:t>
            </w:r>
          </w:p>
        </w:tc>
        <w:tc>
          <w:tcPr>
            <w:tcW w:w="3192" w:type="dxa"/>
          </w:tcPr>
          <w:p w:rsidR="00203AE3" w:rsidRPr="008B30EA" w:rsidRDefault="00203AE3" w:rsidP="006116AB">
            <w:pPr>
              <w:jc w:val="center"/>
              <w:rPr>
                <w:b/>
              </w:rPr>
            </w:pPr>
            <w:r w:rsidRPr="008B30EA">
              <w:rPr>
                <w:b/>
              </w:rPr>
              <w:t>Canada (Developed)</w:t>
            </w:r>
          </w:p>
        </w:tc>
        <w:tc>
          <w:tcPr>
            <w:tcW w:w="3192" w:type="dxa"/>
          </w:tcPr>
          <w:p w:rsidR="00203AE3" w:rsidRPr="008B30EA" w:rsidRDefault="00203AE3" w:rsidP="006116AB">
            <w:pPr>
              <w:jc w:val="center"/>
              <w:rPr>
                <w:b/>
              </w:rPr>
            </w:pPr>
            <w:r w:rsidRPr="008B30EA">
              <w:rPr>
                <w:b/>
              </w:rPr>
              <w:t>Philippines (Developing)</w:t>
            </w:r>
          </w:p>
        </w:tc>
      </w:tr>
      <w:tr w:rsidR="00203AE3" w:rsidTr="006116AB">
        <w:tc>
          <w:tcPr>
            <w:tcW w:w="3192" w:type="dxa"/>
          </w:tcPr>
          <w:p w:rsidR="00203AE3" w:rsidRDefault="00203AE3" w:rsidP="006116AB">
            <w:r>
              <w:t xml:space="preserve"> </w:t>
            </w:r>
          </w:p>
        </w:tc>
        <w:tc>
          <w:tcPr>
            <w:tcW w:w="3192" w:type="dxa"/>
          </w:tcPr>
          <w:p w:rsidR="00203AE3" w:rsidRDefault="00203AE3" w:rsidP="006116AB"/>
        </w:tc>
        <w:tc>
          <w:tcPr>
            <w:tcW w:w="3192" w:type="dxa"/>
          </w:tcPr>
          <w:p w:rsidR="00203AE3" w:rsidRDefault="00203AE3" w:rsidP="006116AB"/>
        </w:tc>
      </w:tr>
      <w:tr w:rsidR="00203AE3" w:rsidTr="006116AB">
        <w:tc>
          <w:tcPr>
            <w:tcW w:w="3192" w:type="dxa"/>
          </w:tcPr>
          <w:p w:rsidR="00203AE3" w:rsidRPr="008B30EA" w:rsidRDefault="00203AE3" w:rsidP="006116AB">
            <w:pPr>
              <w:rPr>
                <w:b/>
              </w:rPr>
            </w:pPr>
            <w:r w:rsidRPr="008B30EA">
              <w:rPr>
                <w:b/>
              </w:rPr>
              <w:t xml:space="preserve">Population </w:t>
            </w:r>
          </w:p>
        </w:tc>
        <w:tc>
          <w:tcPr>
            <w:tcW w:w="3192" w:type="dxa"/>
          </w:tcPr>
          <w:p w:rsidR="00203AE3" w:rsidRDefault="00203AE3" w:rsidP="006116AB">
            <w:r w:rsidRPr="00DE031C">
              <w:t>34,030,589 (July 2011 est.)</w:t>
            </w:r>
          </w:p>
        </w:tc>
        <w:tc>
          <w:tcPr>
            <w:tcW w:w="3192" w:type="dxa"/>
          </w:tcPr>
          <w:p w:rsidR="00203AE3" w:rsidRDefault="00203AE3" w:rsidP="006116AB">
            <w:r w:rsidRPr="00493255">
              <w:t>101,833,938 (July 2011 est.)</w:t>
            </w:r>
          </w:p>
        </w:tc>
      </w:tr>
      <w:tr w:rsidR="00203AE3" w:rsidTr="006116AB">
        <w:tc>
          <w:tcPr>
            <w:tcW w:w="3192" w:type="dxa"/>
          </w:tcPr>
          <w:p w:rsidR="00203AE3" w:rsidRPr="008B30EA" w:rsidRDefault="00203AE3" w:rsidP="006116AB">
            <w:pPr>
              <w:rPr>
                <w:b/>
              </w:rPr>
            </w:pPr>
          </w:p>
        </w:tc>
        <w:tc>
          <w:tcPr>
            <w:tcW w:w="3192" w:type="dxa"/>
          </w:tcPr>
          <w:p w:rsidR="00203AE3" w:rsidRPr="008B30EA" w:rsidRDefault="00203AE3" w:rsidP="006116AB">
            <w:pPr>
              <w:rPr>
                <w:sz w:val="20"/>
                <w:szCs w:val="20"/>
              </w:rPr>
            </w:pPr>
            <w:r w:rsidRPr="008B30EA">
              <w:rPr>
                <w:sz w:val="18"/>
                <w:szCs w:val="18"/>
              </w:rPr>
              <w:t>Growth Rate = 0.794% (2011 est.)</w:t>
            </w:r>
          </w:p>
        </w:tc>
        <w:tc>
          <w:tcPr>
            <w:tcW w:w="3192" w:type="dxa"/>
          </w:tcPr>
          <w:p w:rsidR="00203AE3" w:rsidRPr="008B30EA" w:rsidRDefault="00203AE3" w:rsidP="006116AB">
            <w:pPr>
              <w:rPr>
                <w:sz w:val="18"/>
                <w:szCs w:val="18"/>
              </w:rPr>
            </w:pPr>
            <w:r w:rsidRPr="008B30EA">
              <w:rPr>
                <w:sz w:val="20"/>
                <w:szCs w:val="20"/>
              </w:rPr>
              <w:t>Growth Rate = 1.903% (2011 est.)</w:t>
            </w:r>
          </w:p>
        </w:tc>
      </w:tr>
      <w:tr w:rsidR="00203AE3" w:rsidTr="006116AB">
        <w:tc>
          <w:tcPr>
            <w:tcW w:w="3192" w:type="dxa"/>
          </w:tcPr>
          <w:p w:rsidR="00203AE3" w:rsidRPr="008B30EA" w:rsidRDefault="00203AE3" w:rsidP="006116AB">
            <w:pPr>
              <w:rPr>
                <w:b/>
              </w:rPr>
            </w:pPr>
          </w:p>
        </w:tc>
        <w:tc>
          <w:tcPr>
            <w:tcW w:w="3192" w:type="dxa"/>
          </w:tcPr>
          <w:p w:rsidR="00203AE3" w:rsidRPr="008B30EA" w:rsidRDefault="00203AE3" w:rsidP="006116AB">
            <w:pPr>
              <w:rPr>
                <w:sz w:val="20"/>
                <w:szCs w:val="20"/>
              </w:rPr>
            </w:pPr>
            <w:r>
              <w:rPr>
                <w:sz w:val="20"/>
                <w:szCs w:val="20"/>
              </w:rPr>
              <w:t>5.65% Migrant Population</w:t>
            </w:r>
          </w:p>
        </w:tc>
        <w:tc>
          <w:tcPr>
            <w:tcW w:w="3192" w:type="dxa"/>
          </w:tcPr>
          <w:p w:rsidR="00203AE3" w:rsidRPr="008B30EA" w:rsidRDefault="00203AE3" w:rsidP="006116AB">
            <w:pPr>
              <w:rPr>
                <w:sz w:val="18"/>
                <w:szCs w:val="18"/>
              </w:rPr>
            </w:pPr>
            <w:r>
              <w:rPr>
                <w:sz w:val="18"/>
                <w:szCs w:val="18"/>
              </w:rPr>
              <w:t>- 1.29% Migrant Population</w:t>
            </w:r>
          </w:p>
        </w:tc>
      </w:tr>
      <w:tr w:rsidR="00203AE3" w:rsidTr="006116AB">
        <w:tc>
          <w:tcPr>
            <w:tcW w:w="3192" w:type="dxa"/>
          </w:tcPr>
          <w:p w:rsidR="00203AE3" w:rsidRPr="008B30EA" w:rsidRDefault="00203AE3" w:rsidP="006116AB">
            <w:pPr>
              <w:rPr>
                <w:b/>
              </w:rPr>
            </w:pPr>
          </w:p>
        </w:tc>
        <w:tc>
          <w:tcPr>
            <w:tcW w:w="3192" w:type="dxa"/>
          </w:tcPr>
          <w:p w:rsidR="00203AE3" w:rsidRDefault="00203AE3" w:rsidP="006116AB">
            <w:pPr>
              <w:rPr>
                <w:sz w:val="20"/>
                <w:szCs w:val="20"/>
              </w:rPr>
            </w:pPr>
            <w:r>
              <w:rPr>
                <w:sz w:val="20"/>
                <w:szCs w:val="20"/>
              </w:rPr>
              <w:t>81% Urbanized Population</w:t>
            </w:r>
          </w:p>
        </w:tc>
        <w:tc>
          <w:tcPr>
            <w:tcW w:w="3192" w:type="dxa"/>
          </w:tcPr>
          <w:p w:rsidR="00203AE3" w:rsidRDefault="00203AE3" w:rsidP="006116AB">
            <w:pPr>
              <w:rPr>
                <w:sz w:val="18"/>
                <w:szCs w:val="18"/>
              </w:rPr>
            </w:pPr>
            <w:r>
              <w:rPr>
                <w:sz w:val="18"/>
                <w:szCs w:val="18"/>
              </w:rPr>
              <w:t>49% Urbanized Population</w:t>
            </w:r>
          </w:p>
        </w:tc>
      </w:tr>
      <w:tr w:rsidR="00203AE3" w:rsidTr="006116AB">
        <w:tc>
          <w:tcPr>
            <w:tcW w:w="3192" w:type="dxa"/>
          </w:tcPr>
          <w:p w:rsidR="00203AE3" w:rsidRPr="008B30EA" w:rsidRDefault="00203AE3" w:rsidP="006116AB">
            <w:pPr>
              <w:rPr>
                <w:b/>
              </w:rPr>
            </w:pPr>
          </w:p>
        </w:tc>
        <w:tc>
          <w:tcPr>
            <w:tcW w:w="3192" w:type="dxa"/>
          </w:tcPr>
          <w:p w:rsidR="00203AE3" w:rsidRDefault="00203AE3" w:rsidP="006116AB">
            <w:pPr>
              <w:rPr>
                <w:sz w:val="20"/>
                <w:szCs w:val="20"/>
              </w:rPr>
            </w:pPr>
            <w:r>
              <w:rPr>
                <w:sz w:val="20"/>
                <w:szCs w:val="20"/>
              </w:rPr>
              <w:t>Median Age M = 39 / F = 42</w:t>
            </w:r>
          </w:p>
        </w:tc>
        <w:tc>
          <w:tcPr>
            <w:tcW w:w="3192" w:type="dxa"/>
          </w:tcPr>
          <w:p w:rsidR="00203AE3" w:rsidRDefault="00203AE3" w:rsidP="006116AB">
            <w:pPr>
              <w:rPr>
                <w:sz w:val="18"/>
                <w:szCs w:val="18"/>
              </w:rPr>
            </w:pPr>
            <w:r>
              <w:rPr>
                <w:sz w:val="18"/>
                <w:szCs w:val="18"/>
              </w:rPr>
              <w:t>Median Age M = 22 / F = 23</w:t>
            </w:r>
          </w:p>
        </w:tc>
      </w:tr>
      <w:tr w:rsidR="00203AE3" w:rsidTr="006116AB">
        <w:tc>
          <w:tcPr>
            <w:tcW w:w="3192" w:type="dxa"/>
          </w:tcPr>
          <w:p w:rsidR="00203AE3" w:rsidRPr="008B30EA" w:rsidRDefault="00203AE3" w:rsidP="006116AB">
            <w:pPr>
              <w:rPr>
                <w:b/>
              </w:rPr>
            </w:pPr>
          </w:p>
        </w:tc>
        <w:tc>
          <w:tcPr>
            <w:tcW w:w="3192" w:type="dxa"/>
          </w:tcPr>
          <w:p w:rsidR="00203AE3" w:rsidRDefault="00203AE3" w:rsidP="006116AB">
            <w:pPr>
              <w:rPr>
                <w:sz w:val="20"/>
                <w:szCs w:val="20"/>
              </w:rPr>
            </w:pPr>
          </w:p>
        </w:tc>
        <w:tc>
          <w:tcPr>
            <w:tcW w:w="3192" w:type="dxa"/>
          </w:tcPr>
          <w:p w:rsidR="00203AE3" w:rsidRDefault="00203AE3" w:rsidP="006116AB">
            <w:pPr>
              <w:rPr>
                <w:sz w:val="18"/>
                <w:szCs w:val="18"/>
              </w:rPr>
            </w:pPr>
          </w:p>
        </w:tc>
      </w:tr>
      <w:tr w:rsidR="00203AE3" w:rsidTr="006116AB">
        <w:tc>
          <w:tcPr>
            <w:tcW w:w="3192" w:type="dxa"/>
          </w:tcPr>
          <w:p w:rsidR="00203AE3" w:rsidRPr="008B30EA" w:rsidRDefault="00203AE3" w:rsidP="006116AB">
            <w:pPr>
              <w:rPr>
                <w:b/>
              </w:rPr>
            </w:pPr>
            <w:r w:rsidRPr="008B30EA">
              <w:rPr>
                <w:b/>
              </w:rPr>
              <w:t>Education Level Average</w:t>
            </w:r>
          </w:p>
        </w:tc>
        <w:tc>
          <w:tcPr>
            <w:tcW w:w="3192" w:type="dxa"/>
          </w:tcPr>
          <w:p w:rsidR="00203AE3" w:rsidRDefault="00203AE3" w:rsidP="006116AB">
            <w:r>
              <w:t>17 years average</w:t>
            </w:r>
          </w:p>
        </w:tc>
        <w:tc>
          <w:tcPr>
            <w:tcW w:w="3192" w:type="dxa"/>
          </w:tcPr>
          <w:p w:rsidR="00203AE3" w:rsidRDefault="00203AE3" w:rsidP="006116AB">
            <w:r>
              <w:t>12 years average</w:t>
            </w:r>
          </w:p>
        </w:tc>
      </w:tr>
      <w:tr w:rsidR="00203AE3" w:rsidTr="006116AB">
        <w:tc>
          <w:tcPr>
            <w:tcW w:w="3192" w:type="dxa"/>
          </w:tcPr>
          <w:p w:rsidR="00203AE3" w:rsidRPr="008B30EA" w:rsidRDefault="00203AE3" w:rsidP="006116AB">
            <w:pPr>
              <w:rPr>
                <w:b/>
              </w:rPr>
            </w:pPr>
          </w:p>
        </w:tc>
        <w:tc>
          <w:tcPr>
            <w:tcW w:w="3192" w:type="dxa"/>
          </w:tcPr>
          <w:p w:rsidR="00203AE3" w:rsidRPr="008B30EA" w:rsidRDefault="00203AE3" w:rsidP="006116AB">
            <w:pPr>
              <w:rPr>
                <w:sz w:val="18"/>
                <w:szCs w:val="18"/>
              </w:rPr>
            </w:pPr>
            <w:r w:rsidRPr="008B30EA">
              <w:rPr>
                <w:sz w:val="18"/>
                <w:szCs w:val="18"/>
              </w:rPr>
              <w:t>Education Expenditures = 4.9% GDP</w:t>
            </w:r>
          </w:p>
        </w:tc>
        <w:tc>
          <w:tcPr>
            <w:tcW w:w="3192" w:type="dxa"/>
          </w:tcPr>
          <w:p w:rsidR="00203AE3" w:rsidRPr="008B30EA" w:rsidRDefault="00203AE3" w:rsidP="006116AB">
            <w:pPr>
              <w:rPr>
                <w:sz w:val="18"/>
                <w:szCs w:val="18"/>
              </w:rPr>
            </w:pPr>
            <w:r w:rsidRPr="008B30EA">
              <w:rPr>
                <w:sz w:val="18"/>
                <w:szCs w:val="18"/>
              </w:rPr>
              <w:t>Education Expenditures = 2.1% GDP</w:t>
            </w:r>
          </w:p>
        </w:tc>
      </w:tr>
      <w:tr w:rsidR="00203AE3" w:rsidTr="006116AB">
        <w:tc>
          <w:tcPr>
            <w:tcW w:w="3192" w:type="dxa"/>
          </w:tcPr>
          <w:p w:rsidR="00203AE3" w:rsidRDefault="00203AE3" w:rsidP="006116AB"/>
        </w:tc>
        <w:tc>
          <w:tcPr>
            <w:tcW w:w="3192" w:type="dxa"/>
          </w:tcPr>
          <w:p w:rsidR="00203AE3" w:rsidRPr="009449D1" w:rsidRDefault="00203AE3" w:rsidP="006116AB">
            <w:pPr>
              <w:rPr>
                <w:sz w:val="18"/>
                <w:szCs w:val="18"/>
              </w:rPr>
            </w:pPr>
            <w:r w:rsidRPr="009449D1">
              <w:rPr>
                <w:sz w:val="18"/>
                <w:szCs w:val="18"/>
              </w:rPr>
              <w:t>99.8 % Literacy Rate 15yr and older</w:t>
            </w:r>
          </w:p>
        </w:tc>
        <w:tc>
          <w:tcPr>
            <w:tcW w:w="3192" w:type="dxa"/>
          </w:tcPr>
          <w:p w:rsidR="00203AE3" w:rsidRPr="009449D1" w:rsidRDefault="00203AE3" w:rsidP="006116AB">
            <w:pPr>
              <w:rPr>
                <w:sz w:val="18"/>
                <w:szCs w:val="18"/>
              </w:rPr>
            </w:pPr>
            <w:r w:rsidRPr="009449D1">
              <w:rPr>
                <w:sz w:val="18"/>
                <w:szCs w:val="18"/>
              </w:rPr>
              <w:t>92% Literacy Rate 15yr and older</w:t>
            </w:r>
          </w:p>
        </w:tc>
      </w:tr>
      <w:tr w:rsidR="00203AE3" w:rsidTr="006116AB">
        <w:tc>
          <w:tcPr>
            <w:tcW w:w="3192" w:type="dxa"/>
          </w:tcPr>
          <w:p w:rsidR="00203AE3" w:rsidRDefault="00203AE3" w:rsidP="006116AB"/>
        </w:tc>
        <w:tc>
          <w:tcPr>
            <w:tcW w:w="3192" w:type="dxa"/>
          </w:tcPr>
          <w:p w:rsidR="00203AE3" w:rsidRDefault="00203AE3" w:rsidP="006116AB"/>
        </w:tc>
        <w:tc>
          <w:tcPr>
            <w:tcW w:w="3192" w:type="dxa"/>
          </w:tcPr>
          <w:p w:rsidR="00203AE3" w:rsidRDefault="00203AE3" w:rsidP="006116AB"/>
        </w:tc>
      </w:tr>
    </w:tbl>
    <w:tbl>
      <w:tblPr>
        <w:tblStyle w:val="TableGrid"/>
        <w:tblpPr w:leftFromText="180" w:rightFromText="180" w:vertAnchor="text" w:horzAnchor="margin" w:tblpY="209"/>
        <w:tblW w:w="0" w:type="auto"/>
        <w:tblLook w:val="04A0"/>
      </w:tblPr>
      <w:tblGrid>
        <w:gridCol w:w="3168"/>
        <w:gridCol w:w="3240"/>
        <w:gridCol w:w="3150"/>
      </w:tblGrid>
      <w:tr w:rsidR="00203AE3" w:rsidTr="006116AB">
        <w:tc>
          <w:tcPr>
            <w:tcW w:w="3168" w:type="dxa"/>
          </w:tcPr>
          <w:p w:rsidR="00203AE3" w:rsidRPr="008B30EA" w:rsidRDefault="00203AE3" w:rsidP="006116AB">
            <w:pPr>
              <w:jc w:val="center"/>
              <w:rPr>
                <w:b/>
              </w:rPr>
            </w:pPr>
            <w:r w:rsidRPr="008B30EA">
              <w:rPr>
                <w:b/>
              </w:rPr>
              <w:t>Other Factors</w:t>
            </w:r>
          </w:p>
        </w:tc>
        <w:tc>
          <w:tcPr>
            <w:tcW w:w="3240" w:type="dxa"/>
          </w:tcPr>
          <w:p w:rsidR="00203AE3" w:rsidRPr="008B30EA" w:rsidRDefault="00203AE3" w:rsidP="006116AB">
            <w:pPr>
              <w:jc w:val="center"/>
              <w:rPr>
                <w:b/>
              </w:rPr>
            </w:pPr>
            <w:r w:rsidRPr="008B30EA">
              <w:rPr>
                <w:b/>
              </w:rPr>
              <w:t>Canada (Developed)</w:t>
            </w:r>
          </w:p>
        </w:tc>
        <w:tc>
          <w:tcPr>
            <w:tcW w:w="3150" w:type="dxa"/>
          </w:tcPr>
          <w:p w:rsidR="00203AE3" w:rsidRPr="008B30EA" w:rsidRDefault="00203AE3" w:rsidP="006116AB">
            <w:pPr>
              <w:jc w:val="center"/>
              <w:rPr>
                <w:b/>
              </w:rPr>
            </w:pPr>
            <w:r w:rsidRPr="008B30EA">
              <w:rPr>
                <w:b/>
              </w:rPr>
              <w:t>Philippines (Developing)</w:t>
            </w:r>
          </w:p>
        </w:tc>
      </w:tr>
      <w:tr w:rsidR="00203AE3" w:rsidTr="006116AB">
        <w:tc>
          <w:tcPr>
            <w:tcW w:w="3168" w:type="dxa"/>
          </w:tcPr>
          <w:p w:rsidR="00203AE3" w:rsidRDefault="00203AE3" w:rsidP="006116AB"/>
        </w:tc>
        <w:tc>
          <w:tcPr>
            <w:tcW w:w="3240" w:type="dxa"/>
          </w:tcPr>
          <w:p w:rsidR="00203AE3" w:rsidRDefault="00203AE3" w:rsidP="006116AB"/>
        </w:tc>
        <w:tc>
          <w:tcPr>
            <w:tcW w:w="3150" w:type="dxa"/>
          </w:tcPr>
          <w:p w:rsidR="00203AE3" w:rsidRDefault="00203AE3" w:rsidP="006116AB"/>
        </w:tc>
      </w:tr>
      <w:tr w:rsidR="00203AE3" w:rsidTr="006116AB">
        <w:tc>
          <w:tcPr>
            <w:tcW w:w="3168" w:type="dxa"/>
          </w:tcPr>
          <w:p w:rsidR="00203AE3" w:rsidRPr="008B30EA" w:rsidRDefault="00203AE3" w:rsidP="006116AB">
            <w:pPr>
              <w:rPr>
                <w:b/>
              </w:rPr>
            </w:pPr>
            <w:r>
              <w:rPr>
                <w:b/>
              </w:rPr>
              <w:t>Economic Factors</w:t>
            </w:r>
          </w:p>
        </w:tc>
        <w:tc>
          <w:tcPr>
            <w:tcW w:w="3240" w:type="dxa"/>
          </w:tcPr>
          <w:p w:rsidR="00203AE3" w:rsidRPr="00500369" w:rsidRDefault="00203AE3" w:rsidP="006116AB">
            <w:pPr>
              <w:rPr>
                <w:sz w:val="18"/>
                <w:szCs w:val="18"/>
              </w:rPr>
            </w:pPr>
            <w:r w:rsidRPr="00500369">
              <w:rPr>
                <w:sz w:val="18"/>
                <w:szCs w:val="18"/>
              </w:rPr>
              <w:t>GDP Purchasing Power = $1.3 Trillion</w:t>
            </w:r>
          </w:p>
        </w:tc>
        <w:tc>
          <w:tcPr>
            <w:tcW w:w="3150" w:type="dxa"/>
          </w:tcPr>
          <w:p w:rsidR="00203AE3" w:rsidRPr="00500369" w:rsidRDefault="00203AE3" w:rsidP="006116AB">
            <w:pPr>
              <w:rPr>
                <w:sz w:val="18"/>
                <w:szCs w:val="18"/>
              </w:rPr>
            </w:pPr>
            <w:r w:rsidRPr="00500369">
              <w:rPr>
                <w:sz w:val="18"/>
                <w:szCs w:val="18"/>
              </w:rPr>
              <w:t>GDP Purchasing Power = $351 Billion</w:t>
            </w:r>
          </w:p>
        </w:tc>
      </w:tr>
      <w:tr w:rsidR="00203AE3" w:rsidTr="006116AB">
        <w:tc>
          <w:tcPr>
            <w:tcW w:w="3168" w:type="dxa"/>
          </w:tcPr>
          <w:p w:rsidR="00203AE3" w:rsidRPr="008B30EA" w:rsidRDefault="00203AE3" w:rsidP="006116AB">
            <w:pPr>
              <w:rPr>
                <w:b/>
              </w:rPr>
            </w:pPr>
          </w:p>
        </w:tc>
        <w:tc>
          <w:tcPr>
            <w:tcW w:w="3240" w:type="dxa"/>
          </w:tcPr>
          <w:p w:rsidR="00203AE3" w:rsidRPr="0028768A" w:rsidRDefault="00203AE3" w:rsidP="006116AB">
            <w:pPr>
              <w:rPr>
                <w:sz w:val="18"/>
                <w:szCs w:val="18"/>
              </w:rPr>
            </w:pPr>
            <w:r w:rsidRPr="0028768A">
              <w:rPr>
                <w:sz w:val="18"/>
                <w:szCs w:val="18"/>
              </w:rPr>
              <w:t>Below Poverty Line = 9%</w:t>
            </w:r>
          </w:p>
        </w:tc>
        <w:tc>
          <w:tcPr>
            <w:tcW w:w="3150" w:type="dxa"/>
          </w:tcPr>
          <w:p w:rsidR="00203AE3" w:rsidRPr="0028768A" w:rsidRDefault="00203AE3" w:rsidP="006116AB">
            <w:pPr>
              <w:rPr>
                <w:sz w:val="18"/>
                <w:szCs w:val="18"/>
              </w:rPr>
            </w:pPr>
            <w:r w:rsidRPr="0028768A">
              <w:rPr>
                <w:sz w:val="18"/>
                <w:szCs w:val="18"/>
              </w:rPr>
              <w:t>Below Poverty Line = 32.9%</w:t>
            </w:r>
          </w:p>
        </w:tc>
      </w:tr>
      <w:tr w:rsidR="00203AE3" w:rsidTr="006116AB">
        <w:tc>
          <w:tcPr>
            <w:tcW w:w="3168" w:type="dxa"/>
          </w:tcPr>
          <w:p w:rsidR="00203AE3" w:rsidRPr="008B30EA" w:rsidRDefault="00203AE3" w:rsidP="006116AB">
            <w:pPr>
              <w:rPr>
                <w:b/>
              </w:rPr>
            </w:pPr>
          </w:p>
        </w:tc>
        <w:tc>
          <w:tcPr>
            <w:tcW w:w="3240" w:type="dxa"/>
          </w:tcPr>
          <w:p w:rsidR="00203AE3" w:rsidRDefault="00203AE3" w:rsidP="006116AB"/>
        </w:tc>
        <w:tc>
          <w:tcPr>
            <w:tcW w:w="3150" w:type="dxa"/>
          </w:tcPr>
          <w:p w:rsidR="00203AE3" w:rsidRDefault="00203AE3" w:rsidP="006116AB"/>
        </w:tc>
      </w:tr>
      <w:tr w:rsidR="00203AE3" w:rsidTr="006116AB">
        <w:tc>
          <w:tcPr>
            <w:tcW w:w="3168" w:type="dxa"/>
          </w:tcPr>
          <w:p w:rsidR="00203AE3" w:rsidRPr="008B30EA" w:rsidRDefault="00203AE3" w:rsidP="006116AB">
            <w:pPr>
              <w:rPr>
                <w:b/>
              </w:rPr>
            </w:pPr>
            <w:r w:rsidRPr="008B30EA">
              <w:rPr>
                <w:b/>
              </w:rPr>
              <w:t>Existing Industries</w:t>
            </w:r>
          </w:p>
        </w:tc>
        <w:tc>
          <w:tcPr>
            <w:tcW w:w="3240" w:type="dxa"/>
          </w:tcPr>
          <w:p w:rsidR="00203AE3" w:rsidRPr="00500369" w:rsidRDefault="00203AE3" w:rsidP="006116AB">
            <w:pPr>
              <w:rPr>
                <w:sz w:val="18"/>
                <w:szCs w:val="18"/>
              </w:rPr>
            </w:pPr>
            <w:r w:rsidRPr="00500369">
              <w:rPr>
                <w:sz w:val="18"/>
                <w:szCs w:val="18"/>
              </w:rPr>
              <w:t>Agriculture, Manufacturing, Services, Construction, Other</w:t>
            </w:r>
          </w:p>
        </w:tc>
        <w:tc>
          <w:tcPr>
            <w:tcW w:w="3150" w:type="dxa"/>
          </w:tcPr>
          <w:p w:rsidR="00203AE3" w:rsidRPr="00500369" w:rsidRDefault="00203AE3" w:rsidP="006116AB">
            <w:pPr>
              <w:rPr>
                <w:sz w:val="18"/>
                <w:szCs w:val="18"/>
              </w:rPr>
            </w:pPr>
            <w:r w:rsidRPr="00500369">
              <w:rPr>
                <w:sz w:val="18"/>
                <w:szCs w:val="18"/>
              </w:rPr>
              <w:t>Agriculture, Service</w:t>
            </w:r>
          </w:p>
        </w:tc>
      </w:tr>
      <w:tr w:rsidR="00203AE3" w:rsidTr="006116AB">
        <w:tc>
          <w:tcPr>
            <w:tcW w:w="3168" w:type="dxa"/>
          </w:tcPr>
          <w:p w:rsidR="00203AE3" w:rsidRDefault="00203AE3" w:rsidP="006116AB"/>
        </w:tc>
        <w:tc>
          <w:tcPr>
            <w:tcW w:w="3240" w:type="dxa"/>
          </w:tcPr>
          <w:p w:rsidR="00203AE3" w:rsidRPr="0028768A" w:rsidRDefault="00203AE3" w:rsidP="006116AB">
            <w:pPr>
              <w:rPr>
                <w:sz w:val="18"/>
                <w:szCs w:val="18"/>
              </w:rPr>
            </w:pPr>
            <w:r w:rsidRPr="0028768A">
              <w:rPr>
                <w:sz w:val="18"/>
                <w:szCs w:val="18"/>
              </w:rPr>
              <w:t>Technologically Advanced Industries are predominant</w:t>
            </w:r>
          </w:p>
        </w:tc>
        <w:tc>
          <w:tcPr>
            <w:tcW w:w="3150" w:type="dxa"/>
          </w:tcPr>
          <w:p w:rsidR="00203AE3" w:rsidRPr="0028768A" w:rsidRDefault="00203AE3" w:rsidP="006116AB">
            <w:pPr>
              <w:rPr>
                <w:sz w:val="18"/>
                <w:szCs w:val="18"/>
              </w:rPr>
            </w:pPr>
            <w:r w:rsidRPr="0028768A">
              <w:rPr>
                <w:sz w:val="18"/>
                <w:szCs w:val="18"/>
              </w:rPr>
              <w:t xml:space="preserve">Fishing and Farming is predominant </w:t>
            </w:r>
          </w:p>
        </w:tc>
      </w:tr>
    </w:tbl>
    <w:p w:rsidR="00203AE3" w:rsidRDefault="00203AE3" w:rsidP="00203AE3"/>
    <w:p w:rsidR="00203AE3" w:rsidRDefault="00203AE3" w:rsidP="00203AE3">
      <w:r>
        <w:t xml:space="preserve">When comparing Canada and the Philippines, it becomes quickly apparent that the economic and educational gaps are very wide. For each country, the HR strategy will be completely different.  </w:t>
      </w:r>
    </w:p>
    <w:p w:rsidR="00203AE3" w:rsidRDefault="00203AE3" w:rsidP="00203AE3"/>
    <w:p w:rsidR="00203AE3" w:rsidRDefault="00203AE3" w:rsidP="00203AE3">
      <w:r>
        <w:t xml:space="preserve">In the Philippines, the HR strategy will have to take into consideration some key factors that are much more challenging than would be found in comparison to the Canadian strategy. For example, the average age in the Philippines is 23yrs old as compared to 40 yrs old in Canada. This means that the strategy will be centered on attracting college aged candidates who are new to the work force. Also, the Philippines has a lower education level on average than Canada, therefore, it will be more challenging identifying, training, and recruiting skilled labor. Another issue in the Philippines is that the predominant industry is farming and fishing, so, a technology company may have much more difficulty in recruiting technologically advanced engineers in the Philippines as an example as compared to Canada.  </w:t>
      </w:r>
    </w:p>
    <w:p w:rsidR="00203AE3" w:rsidRDefault="00203AE3" w:rsidP="00203AE3"/>
    <w:p w:rsidR="00203AE3" w:rsidRDefault="00203AE3" w:rsidP="00203AE3">
      <w:r>
        <w:t xml:space="preserve">The economic factor is also a tremendous disadvantage between the two countries. In Canada, the HR strategy will be aimed at a very lucrative and mature workforce where the majority of the population is educated beyond the high school level and they are accustomed to living comfortably above the poverty level. In the Philippines, the average person has only a high school education and almost half of the country is </w:t>
      </w:r>
      <w:r>
        <w:lastRenderedPageBreak/>
        <w:t xml:space="preserve">below the poverty line.  This will completely alter the types of strategies used in work force training and development in these countries. </w:t>
      </w:r>
    </w:p>
    <w:p w:rsidR="00203AE3" w:rsidRDefault="00203AE3" w:rsidP="00203AE3"/>
    <w:p w:rsidR="00203AE3" w:rsidRDefault="00203AE3" w:rsidP="00203AE3">
      <w:r>
        <w:t xml:space="preserve">The other major disadvantage in comparing Canada and the Philippines is the population of the two countries. The Philippines has 3 times the amount of people that Canada has. So, the Philippines pose a much more cumbersome task when it comes to segmenting specific demographics and areas to try to isolate specific skill sets. </w:t>
      </w:r>
    </w:p>
    <w:p w:rsidR="00203AE3" w:rsidRDefault="00203AE3" w:rsidP="00203AE3">
      <w:r>
        <w:t xml:space="preserve">When comparing a highly developed country as compared to a developing country it seems there are many more challenges with putting in place effective strategies in the Philippines. The lack of resources, lower education, poverty, and lack of industry will demand more from HR as opposed to working in a highly developed country such as Canada. However, there can be great advantages to be found when a great strategy is in place in the developing country as the costs are cheaper and in some cases talent may be more abundant. This can be a huge asset to a company that taps these developing resources. </w:t>
      </w:r>
    </w:p>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p w:rsidR="00203AE3" w:rsidRDefault="00203AE3" w:rsidP="00203AE3">
      <w:r>
        <w:t>Reference:</w:t>
      </w:r>
    </w:p>
    <w:p w:rsidR="00203AE3" w:rsidRDefault="00212C60" w:rsidP="00203AE3">
      <w:hyperlink r:id="rId7" w:history="1">
        <w:r w:rsidR="00203AE3" w:rsidRPr="009E393C">
          <w:rPr>
            <w:rStyle w:val="Hyperlink"/>
          </w:rPr>
          <w:t>https://www.cia.gov/library/publications/the-world-factbook/geos/xx.html</w:t>
        </w:r>
      </w:hyperlink>
    </w:p>
    <w:p w:rsidR="00203AE3" w:rsidRDefault="00203AE3" w:rsidP="00203AE3">
      <w:r>
        <w:t>Countries compared on this site: Canada and Philippines</w:t>
      </w:r>
    </w:p>
    <w:p w:rsidR="00203AE3" w:rsidRDefault="00203AE3" w:rsidP="00203AE3"/>
    <w:p w:rsidR="00381905" w:rsidRPr="00CB55CE" w:rsidRDefault="00381905" w:rsidP="00CB55CE"/>
    <w:sectPr w:rsidR="00381905" w:rsidRPr="00CB55CE" w:rsidSect="005069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9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7F" w:rsidRDefault="002E087F" w:rsidP="00865B8E">
      <w:r>
        <w:separator/>
      </w:r>
    </w:p>
  </w:endnote>
  <w:endnote w:type="continuationSeparator" w:id="0">
    <w:p w:rsidR="002E087F" w:rsidRDefault="002E087F" w:rsidP="00865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7F" w:rsidRDefault="002E087F" w:rsidP="00865B8E">
      <w:r>
        <w:separator/>
      </w:r>
    </w:p>
  </w:footnote>
  <w:footnote w:type="continuationSeparator" w:id="0">
    <w:p w:rsidR="002E087F" w:rsidRDefault="002E087F" w:rsidP="00865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cs="Tahoma"/>
        <w:b/>
        <w:bCs/>
        <w:kern w:val="36"/>
        <w:sz w:val="48"/>
        <w:szCs w:val="48"/>
        <w:lang w:eastAsia="en-US"/>
      </w:rPr>
      <w:id w:val="-167262394"/>
      <w:docPartObj>
        <w:docPartGallery w:val="Page Numbers (Top of Page)"/>
        <w:docPartUnique/>
      </w:docPartObj>
    </w:sdtPr>
    <w:sdtEndPr>
      <w:rPr>
        <w:rFonts w:eastAsiaTheme="minorEastAsia"/>
        <w:b w:val="0"/>
        <w:bCs w:val="0"/>
        <w:noProof/>
        <w:kern w:val="0"/>
        <w:sz w:val="24"/>
        <w:szCs w:val="22"/>
        <w:lang w:eastAsia="ko-KR"/>
      </w:rPr>
    </w:sdtEndPr>
    <w:sdtContent>
      <w:p w:rsidR="002F0C3F" w:rsidRPr="00203AE3" w:rsidRDefault="00212C60" w:rsidP="002F0C3F">
        <w:pPr>
          <w:pStyle w:val="Header"/>
          <w:jc w:val="right"/>
          <w:rPr>
            <w:rFonts w:cs="Tahoma"/>
            <w:noProof/>
            <w:color w:val="000000" w:themeColor="text1"/>
          </w:rPr>
        </w:pPr>
        <w:r w:rsidRPr="00203AE3">
          <w:rPr>
            <w:rFonts w:cs="Tahoma"/>
            <w:color w:val="000000" w:themeColor="text1"/>
          </w:rPr>
          <w:fldChar w:fldCharType="begin"/>
        </w:r>
        <w:r w:rsidR="002F0C3F" w:rsidRPr="00203AE3">
          <w:rPr>
            <w:rFonts w:cs="Tahoma"/>
            <w:color w:val="000000" w:themeColor="text1"/>
          </w:rPr>
          <w:instrText xml:space="preserve"> PAGE   \* MERGEFORMAT </w:instrText>
        </w:r>
        <w:r w:rsidRPr="00203AE3">
          <w:rPr>
            <w:rFonts w:cs="Tahoma"/>
            <w:color w:val="000000" w:themeColor="text1"/>
          </w:rPr>
          <w:fldChar w:fldCharType="separate"/>
        </w:r>
        <w:r w:rsidR="00185108">
          <w:rPr>
            <w:rFonts w:cs="Tahoma"/>
            <w:noProof/>
            <w:color w:val="000000" w:themeColor="text1"/>
          </w:rPr>
          <w:t>1</w:t>
        </w:r>
        <w:r w:rsidRPr="00203AE3">
          <w:rPr>
            <w:rFonts w:cs="Tahoma"/>
            <w:noProof/>
            <w:color w:val="000000" w:themeColor="text1"/>
          </w:rPr>
          <w:fldChar w:fldCharType="end"/>
        </w:r>
        <w:r w:rsidRPr="00212C60">
          <w:rPr>
            <w:rFonts w:eastAsia="Times New Roman" w:cs="Tahoma"/>
            <w:noProof/>
            <w:color w:val="000000" w:themeColor="text1"/>
            <w:sz w:val="22"/>
            <w:szCs w:val="24"/>
            <w:lang w:eastAsia="en-US"/>
          </w:rPr>
          <w:pict>
            <v:rect id="Rectangle 3" o:spid="_x0000_s4098" style="position:absolute;left:0;text-align:left;margin-left:2in;margin-top:4.6pt;width:1in;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" filled="f" stroked="f">
              <v:textbox inset="0,0,0,0"/>
            </v:rect>
          </w:pict>
        </w:r>
      </w:p>
      <w:p w:rsidR="002F0C3F" w:rsidRPr="00203AE3" w:rsidRDefault="00212C60" w:rsidP="00203AE3">
        <w:pPr>
          <w:rPr>
            <w:rFonts w:eastAsia="Times New Roman" w:cs="Tahoma"/>
            <w:color w:val="000000" w:themeColor="text1"/>
            <w:szCs w:val="24"/>
            <w:lang w:eastAsia="en-US"/>
          </w:rPr>
        </w:pPr>
      </w:p>
    </w:sdtContent>
  </w:sdt>
  <w:p w:rsidR="00865B8E" w:rsidRDefault="00212C60" w:rsidP="002F0C3F">
    <w:pPr>
      <w:pStyle w:val="Header"/>
      <w:jc w:val="right"/>
    </w:pPr>
    <w:r w:rsidRPr="00212C60">
      <w:rPr>
        <w:rFonts w:eastAsia="Times New Roman" w:cs="Times New Roman"/>
        <w:noProof/>
        <w:sz w:val="22"/>
        <w:szCs w:val="24"/>
        <w:lang w:eastAsia="en-US"/>
      </w:rPr>
      <w:pict>
        <v:line id="Straight Connector 2" o:spid="_x0000_s4097" style="position:absolute;left:0;text-align:left;z-index:251659264;visibility:visible" from="0,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ZiHg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" strokecolor="#ddd"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A06A3"/>
    <w:multiLevelType w:val="hybridMultilevel"/>
    <w:tmpl w:val="48F6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865B8E"/>
    <w:rsid w:val="00045156"/>
    <w:rsid w:val="00095A7E"/>
    <w:rsid w:val="000A4E0B"/>
    <w:rsid w:val="0017197C"/>
    <w:rsid w:val="00175CE0"/>
    <w:rsid w:val="00185108"/>
    <w:rsid w:val="001A682E"/>
    <w:rsid w:val="00203AE3"/>
    <w:rsid w:val="00212C60"/>
    <w:rsid w:val="00284B0A"/>
    <w:rsid w:val="002A4B19"/>
    <w:rsid w:val="002A5A8F"/>
    <w:rsid w:val="002E087F"/>
    <w:rsid w:val="002F0C3F"/>
    <w:rsid w:val="00300EF7"/>
    <w:rsid w:val="00327242"/>
    <w:rsid w:val="003347CB"/>
    <w:rsid w:val="00381905"/>
    <w:rsid w:val="00453943"/>
    <w:rsid w:val="004B7F2B"/>
    <w:rsid w:val="0050694C"/>
    <w:rsid w:val="0052724A"/>
    <w:rsid w:val="006B3985"/>
    <w:rsid w:val="00744FA3"/>
    <w:rsid w:val="007827F2"/>
    <w:rsid w:val="007F4D04"/>
    <w:rsid w:val="00865B8E"/>
    <w:rsid w:val="00872890"/>
    <w:rsid w:val="00903165"/>
    <w:rsid w:val="009B0044"/>
    <w:rsid w:val="009E6AC5"/>
    <w:rsid w:val="009E77C0"/>
    <w:rsid w:val="00A47C32"/>
    <w:rsid w:val="00AD0D24"/>
    <w:rsid w:val="00B13E47"/>
    <w:rsid w:val="00B83873"/>
    <w:rsid w:val="00C0192D"/>
    <w:rsid w:val="00CB55CE"/>
    <w:rsid w:val="00DD31A5"/>
    <w:rsid w:val="00ED0C49"/>
    <w:rsid w:val="00F00175"/>
    <w:rsid w:val="00F2262A"/>
    <w:rsid w:val="00F46AEF"/>
    <w:rsid w:val="00F6036C"/>
    <w:rsid w:val="00FB6AF0"/>
    <w:rsid w:val="00FE5E78"/>
    <w:rsid w:val="00FF2C29"/>
    <w:rsid w:val="00FF48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Arial"/>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2E"/>
  </w:style>
  <w:style w:type="paragraph" w:styleId="Heading1">
    <w:name w:val="heading 1"/>
    <w:basedOn w:val="Normal"/>
    <w:link w:val="Heading1Char"/>
    <w:uiPriority w:val="9"/>
    <w:qFormat/>
    <w:rsid w:val="0017197C"/>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8E"/>
    <w:pPr>
      <w:tabs>
        <w:tab w:val="center" w:pos="4680"/>
        <w:tab w:val="right" w:pos="9360"/>
      </w:tabs>
    </w:pPr>
  </w:style>
  <w:style w:type="character" w:customStyle="1" w:styleId="HeaderChar">
    <w:name w:val="Header Char"/>
    <w:basedOn w:val="DefaultParagraphFont"/>
    <w:link w:val="Header"/>
    <w:uiPriority w:val="99"/>
    <w:rsid w:val="00865B8E"/>
  </w:style>
  <w:style w:type="paragraph" w:styleId="Footer">
    <w:name w:val="footer"/>
    <w:basedOn w:val="Normal"/>
    <w:link w:val="FooterChar"/>
    <w:uiPriority w:val="99"/>
    <w:unhideWhenUsed/>
    <w:rsid w:val="00865B8E"/>
    <w:pPr>
      <w:tabs>
        <w:tab w:val="center" w:pos="4680"/>
        <w:tab w:val="right" w:pos="9360"/>
      </w:tabs>
    </w:pPr>
  </w:style>
  <w:style w:type="character" w:customStyle="1" w:styleId="FooterChar">
    <w:name w:val="Footer Char"/>
    <w:basedOn w:val="DefaultParagraphFont"/>
    <w:link w:val="Footer"/>
    <w:uiPriority w:val="99"/>
    <w:rsid w:val="00865B8E"/>
  </w:style>
  <w:style w:type="paragraph" w:styleId="ListParagraph">
    <w:name w:val="List Paragraph"/>
    <w:basedOn w:val="Normal"/>
    <w:uiPriority w:val="34"/>
    <w:qFormat/>
    <w:rsid w:val="00F2262A"/>
    <w:pPr>
      <w:ind w:left="720"/>
      <w:contextualSpacing/>
    </w:pPr>
  </w:style>
  <w:style w:type="character" w:customStyle="1" w:styleId="Heading1Char">
    <w:name w:val="Heading 1 Char"/>
    <w:basedOn w:val="DefaultParagraphFont"/>
    <w:link w:val="Heading1"/>
    <w:uiPriority w:val="9"/>
    <w:rsid w:val="0017197C"/>
    <w:rPr>
      <w:rFonts w:ascii="Times New Roman" w:eastAsia="Times New Roman" w:hAnsi="Times New Roman" w:cs="Times New Roman"/>
      <w:b/>
      <w:bCs/>
      <w:kern w:val="36"/>
      <w:sz w:val="48"/>
      <w:szCs w:val="48"/>
      <w:lang w:eastAsia="en-US"/>
    </w:rPr>
  </w:style>
  <w:style w:type="character" w:styleId="Hyperlink">
    <w:name w:val="Hyperlink"/>
    <w:basedOn w:val="DefaultParagraphFont"/>
    <w:uiPriority w:val="99"/>
    <w:semiHidden/>
    <w:unhideWhenUsed/>
    <w:rsid w:val="00203AE3"/>
    <w:rPr>
      <w:color w:val="0000FF"/>
      <w:u w:val="single"/>
    </w:rPr>
  </w:style>
  <w:style w:type="paragraph" w:styleId="BalloonText">
    <w:name w:val="Balloon Text"/>
    <w:basedOn w:val="Normal"/>
    <w:link w:val="BalloonTextChar"/>
    <w:uiPriority w:val="99"/>
    <w:semiHidden/>
    <w:unhideWhenUsed/>
    <w:rsid w:val="00203AE3"/>
    <w:rPr>
      <w:rFonts w:cs="Tahoma"/>
      <w:sz w:val="16"/>
      <w:szCs w:val="16"/>
    </w:rPr>
  </w:style>
  <w:style w:type="character" w:customStyle="1" w:styleId="BalloonTextChar">
    <w:name w:val="Balloon Text Char"/>
    <w:basedOn w:val="DefaultParagraphFont"/>
    <w:link w:val="BalloonText"/>
    <w:uiPriority w:val="99"/>
    <w:semiHidden/>
    <w:rsid w:val="00203AE3"/>
    <w:rPr>
      <w:rFonts w:cs="Tahoma"/>
      <w:sz w:val="16"/>
      <w:szCs w:val="16"/>
    </w:rPr>
  </w:style>
  <w:style w:type="table" w:styleId="TableGrid">
    <w:name w:val="Table Grid"/>
    <w:basedOn w:val="TableNormal"/>
    <w:uiPriority w:val="59"/>
    <w:rsid w:val="00203AE3"/>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Arial"/>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8E"/>
    <w:pPr>
      <w:tabs>
        <w:tab w:val="center" w:pos="4680"/>
        <w:tab w:val="right" w:pos="9360"/>
      </w:tabs>
    </w:pPr>
  </w:style>
  <w:style w:type="character" w:customStyle="1" w:styleId="HeaderChar">
    <w:name w:val="Header Char"/>
    <w:basedOn w:val="DefaultParagraphFont"/>
    <w:link w:val="Header"/>
    <w:uiPriority w:val="99"/>
    <w:rsid w:val="00865B8E"/>
  </w:style>
  <w:style w:type="paragraph" w:styleId="Footer">
    <w:name w:val="footer"/>
    <w:basedOn w:val="Normal"/>
    <w:link w:val="FooterChar"/>
    <w:uiPriority w:val="99"/>
    <w:unhideWhenUsed/>
    <w:rsid w:val="00865B8E"/>
    <w:pPr>
      <w:tabs>
        <w:tab w:val="center" w:pos="4680"/>
        <w:tab w:val="right" w:pos="9360"/>
      </w:tabs>
    </w:pPr>
  </w:style>
  <w:style w:type="character" w:customStyle="1" w:styleId="FooterChar">
    <w:name w:val="Footer Char"/>
    <w:basedOn w:val="DefaultParagraphFont"/>
    <w:link w:val="Footer"/>
    <w:uiPriority w:val="99"/>
    <w:rsid w:val="00865B8E"/>
  </w:style>
  <w:style w:type="paragraph" w:styleId="ListParagraph">
    <w:name w:val="List Paragraph"/>
    <w:basedOn w:val="Normal"/>
    <w:uiPriority w:val="34"/>
    <w:qFormat/>
    <w:rsid w:val="00F2262A"/>
    <w:pPr>
      <w:ind w:left="720"/>
      <w:contextualSpacing/>
    </w:pPr>
  </w:style>
</w:styles>
</file>

<file path=word/webSettings.xml><?xml version="1.0" encoding="utf-8"?>
<w:webSettings xmlns:r="http://schemas.openxmlformats.org/officeDocument/2006/relationships" xmlns:w="http://schemas.openxmlformats.org/wordprocessingml/2006/main">
  <w:divs>
    <w:div w:id="198902746">
      <w:bodyDiv w:val="1"/>
      <w:marLeft w:val="0"/>
      <w:marRight w:val="0"/>
      <w:marTop w:val="0"/>
      <w:marBottom w:val="0"/>
      <w:divBdr>
        <w:top w:val="none" w:sz="0" w:space="0" w:color="auto"/>
        <w:left w:val="none" w:sz="0" w:space="0" w:color="auto"/>
        <w:bottom w:val="none" w:sz="0" w:space="0" w:color="auto"/>
        <w:right w:val="none" w:sz="0" w:space="0" w:color="auto"/>
      </w:divBdr>
    </w:div>
    <w:div w:id="488712877">
      <w:bodyDiv w:val="1"/>
      <w:marLeft w:val="0"/>
      <w:marRight w:val="0"/>
      <w:marTop w:val="0"/>
      <w:marBottom w:val="0"/>
      <w:divBdr>
        <w:top w:val="none" w:sz="0" w:space="0" w:color="auto"/>
        <w:left w:val="none" w:sz="0" w:space="0" w:color="auto"/>
        <w:bottom w:val="none" w:sz="0" w:space="0" w:color="auto"/>
        <w:right w:val="none" w:sz="0" w:space="0" w:color="auto"/>
      </w:divBdr>
      <w:divsChild>
        <w:div w:id="134921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ia.gov/library/publications/the-world-factbook/geos/xx.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United States Army</cp:lastModifiedBy>
  <cp:revision>2</cp:revision>
  <dcterms:created xsi:type="dcterms:W3CDTF">2012-02-02T00:20:00Z</dcterms:created>
  <dcterms:modified xsi:type="dcterms:W3CDTF">2012-02-02T00:20:00Z</dcterms:modified>
</cp:coreProperties>
</file>