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2D" w:rsidRDefault="0007582D" w:rsidP="0007582D">
      <w:pPr>
        <w:autoSpaceDE w:val="0"/>
        <w:autoSpaceDN w:val="0"/>
        <w:adjustRightInd w:val="0"/>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FF"/>
          <w:sz w:val="30"/>
          <w:szCs w:val="30"/>
        </w:rPr>
        <w:t>The initial cash outlay at Time 0 is simply the cost of the new equipment, $21,500,000. The sales each year are a combination of the sales of the new PDA, the lost sales each year, and the lost revenue. In this case, the lost sales are 15,000 units of the old PDA each year for two years at a price of $290 each. The company will also be forced to reduce the price of the old PDA on the units they will still sell for the next two years. So, the total change in sales is:</w:t>
      </w:r>
    </w:p>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30"/>
          <w:szCs w:val="24"/>
        </w:rPr>
      </w:pP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30"/>
          <w:szCs w:val="24"/>
        </w:rPr>
      </w:pPr>
      <w:r>
        <w:rPr>
          <w:rFonts w:ascii="Times New Roman" w:eastAsia="Times New Roman" w:hAnsi="Times New Roman" w:cs="Times New Roman"/>
          <w:b/>
          <w:color w:val="0000FF"/>
          <w:sz w:val="30"/>
          <w:szCs w:val="24"/>
        </w:rPr>
        <w:t>Sales = New sales – Lost sales – Lost revenue</w:t>
      </w: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xml:space="preserve">Year 1 = (74,000 × $360) – (15,000 × $290) – [(80,000 – 15,000) × ($290 – 255)] = </w:t>
      </w:r>
      <w:r>
        <w:rPr>
          <w:rFonts w:ascii="Times New Roman" w:eastAsia="Times New Roman" w:hAnsi="Times New Roman" w:cs="Times New Roman"/>
          <w:b/>
          <w:color w:val="0000FF"/>
          <w:sz w:val="27"/>
          <w:szCs w:val="24"/>
          <w:u w:val="single"/>
        </w:rPr>
        <w:t>$20,015,000</w:t>
      </w: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xml:space="preserve">Year 2 = (95,000 × $360) – (15,000 × $290) – [(60,000 – 15,000) × ($290 – 255)] = </w:t>
      </w:r>
      <w:r>
        <w:rPr>
          <w:rFonts w:ascii="Times New Roman" w:eastAsia="Times New Roman" w:hAnsi="Times New Roman" w:cs="Times New Roman"/>
          <w:b/>
          <w:color w:val="0000FF"/>
          <w:sz w:val="27"/>
          <w:szCs w:val="24"/>
          <w:u w:val="single"/>
        </w:rPr>
        <w:t>$28,275,000</w:t>
      </w:r>
      <w:r>
        <w:rPr>
          <w:rFonts w:ascii="Times New Roman" w:eastAsia="Times New Roman" w:hAnsi="Times New Roman" w:cs="Times New Roman"/>
          <w:b/>
          <w:color w:val="0000FF"/>
          <w:sz w:val="27"/>
          <w:szCs w:val="24"/>
        </w:rPr>
        <w:tab/>
      </w:r>
    </w:p>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7"/>
          <w:szCs w:val="24"/>
        </w:rPr>
      </w:pPr>
    </w:p>
    <w:tbl>
      <w:tblPr>
        <w:tblW w:w="0" w:type="auto"/>
        <w:tblInd w:w="10" w:type="dxa"/>
        <w:tblBorders>
          <w:bottom w:val="single" w:sz="6" w:space="0" w:color="000000"/>
        </w:tblBorders>
        <w:tblLayout w:type="fixed"/>
        <w:tblCellMar>
          <w:top w:w="10" w:type="dxa"/>
          <w:left w:w="10" w:type="dxa"/>
          <w:bottom w:w="10" w:type="dxa"/>
          <w:right w:w="10" w:type="dxa"/>
        </w:tblCellMar>
        <w:tblLook w:val="0000" w:firstRow="0" w:lastRow="0" w:firstColumn="0" w:lastColumn="0" w:noHBand="0" w:noVBand="0"/>
      </w:tblPr>
      <w:tblGrid>
        <w:gridCol w:w="271"/>
        <w:gridCol w:w="1900"/>
        <w:gridCol w:w="1551"/>
        <w:gridCol w:w="1551"/>
        <w:gridCol w:w="1551"/>
        <w:gridCol w:w="1551"/>
        <w:gridCol w:w="1551"/>
      </w:tblGrid>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rPr>
              <w:t>Sales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u w:val="single"/>
              </w:rPr>
              <w:t>Year 1</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u w:val="single"/>
              </w:rPr>
              <w:t>Year 2</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u w:val="single"/>
              </w:rPr>
              <w:t>Year 3</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u w:val="single"/>
              </w:rPr>
              <w:t>Year 4</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u w:val="single"/>
              </w:rPr>
              <w:t>Year 5</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New</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$26,640,000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$34,200,000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$45,000,000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$37,800,000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$28,800,000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Lost sales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–4,350,000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–4,350,000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Lost revenue</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–1,575,000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Net sales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$20,015,000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$28,275,000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$45,000,000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$37,800,000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$28,800,000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FF"/>
                <w:sz w:val="24"/>
                <w:szCs w:val="24"/>
              </w:rPr>
              <w:t>VC</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New</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$11,470,000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$14,725,000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$19,375,000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$16,275,000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$12,400,000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Lost sales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–1,800,000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–1,800,000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$9,670,000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$12,925,000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$19,375,000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$16,275,000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$12,400,000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Sales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$20,015,000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$28,275,000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$45,000,000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$37,800,000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$28,800,000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VC</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9,670,000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12,925,000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19,375,000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16,275,000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12,400,000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Fixed costs</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4,700,000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4,700,000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Depreciation</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3,072,350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5,265,350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3,760,350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2,685,350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1,919,950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EBT</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$2,572,650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$5,384,650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$17,164,650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$14,139,650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$9,780,050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Tax</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900,428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1,884,628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6,007,628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4,948,878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3,423,018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NI</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$1,672,223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$3,500,023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$11,157,023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$9,190,773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$6,357,033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Depreciation</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3,072,350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5,265,350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3,760,350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2,685,350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1,919,950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OCF</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$4,744,573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$8,765,373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$14,917,373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$11,876,123 </w:t>
            </w:r>
          </w:p>
        </w:tc>
        <w:tc>
          <w:tcPr>
            <w:tcW w:w="1551"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$8,276,983 </w:t>
            </w:r>
          </w:p>
        </w:tc>
      </w:tr>
    </w:tbl>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4"/>
          <w:szCs w:val="24"/>
        </w:rPr>
      </w:pPr>
    </w:p>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4"/>
          <w:szCs w:val="24"/>
        </w:rPr>
      </w:pPr>
    </w:p>
    <w:tbl>
      <w:tblPr>
        <w:tblW w:w="0" w:type="auto"/>
        <w:tblInd w:w="10" w:type="dxa"/>
        <w:tblBorders>
          <w:bottom w:val="single" w:sz="6" w:space="0" w:color="000000"/>
        </w:tblBorders>
        <w:tblLayout w:type="fixed"/>
        <w:tblCellMar>
          <w:top w:w="10" w:type="dxa"/>
          <w:left w:w="10" w:type="dxa"/>
          <w:bottom w:w="10" w:type="dxa"/>
          <w:right w:w="10" w:type="dxa"/>
        </w:tblCellMar>
        <w:tblLook w:val="0000" w:firstRow="0" w:lastRow="0" w:firstColumn="0" w:lastColumn="0" w:noHBand="0" w:noVBand="0"/>
      </w:tblPr>
      <w:tblGrid>
        <w:gridCol w:w="271"/>
        <w:gridCol w:w="1900"/>
        <w:gridCol w:w="1440"/>
        <w:gridCol w:w="1440"/>
        <w:gridCol w:w="1440"/>
        <w:gridCol w:w="1440"/>
        <w:gridCol w:w="1440"/>
      </w:tblGrid>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1"/>
                <w:szCs w:val="24"/>
              </w:rPr>
            </w:pPr>
            <w:r>
              <w:rPr>
                <w:rFonts w:ascii="Times New Roman" w:eastAsia="Times New Roman" w:hAnsi="Times New Roman" w:cs="Times New Roman"/>
                <w:b/>
                <w:color w:val="0000FF"/>
                <w:sz w:val="21"/>
                <w:szCs w:val="24"/>
              </w:rPr>
              <w:t>NWC</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1"/>
                <w:szCs w:val="24"/>
              </w:rPr>
            </w:pPr>
            <w:r>
              <w:rPr>
                <w:rFonts w:ascii="Times New Roman" w:eastAsia="Times New Roman" w:hAnsi="Times New Roman" w:cs="Times New Roman"/>
                <w:b/>
                <w:color w:val="0000FF"/>
                <w:sz w:val="21"/>
                <w:szCs w:val="24"/>
              </w:rPr>
              <w:t>Beg</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$4,003,000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$5,655,000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$9,000,000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$7,560,000</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1"/>
                <w:szCs w:val="24"/>
              </w:rPr>
            </w:pPr>
            <w:r>
              <w:rPr>
                <w:rFonts w:ascii="Times New Roman" w:eastAsia="Times New Roman" w:hAnsi="Times New Roman" w:cs="Times New Roman"/>
                <w:b/>
                <w:color w:val="0000FF"/>
                <w:sz w:val="21"/>
                <w:szCs w:val="24"/>
              </w:rPr>
              <w:t>End</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4,003,000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5,655,000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9,000,000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7,560,000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0</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1"/>
                <w:szCs w:val="24"/>
              </w:rPr>
            </w:pPr>
            <w:r>
              <w:rPr>
                <w:rFonts w:ascii="Times New Roman" w:eastAsia="Times New Roman" w:hAnsi="Times New Roman" w:cs="Times New Roman"/>
                <w:b/>
                <w:color w:val="0000FF"/>
                <w:sz w:val="21"/>
                <w:szCs w:val="24"/>
              </w:rPr>
              <w:t>NWC Cash Flow</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–$4,003,000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–$1,652,000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–$3,345,000</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$1,440,000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$7,560,000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lastRenderedPageBreak/>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single" w:sz="6" w:space="0" w:color="000000"/>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Net Cash Flow</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$741,573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$7,113,373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$11,572,373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$13,316,123 </w:t>
            </w:r>
          </w:p>
        </w:tc>
        <w:tc>
          <w:tcPr>
            <w:tcW w:w="1440" w:type="dxa"/>
            <w:tcBorders>
              <w:top w:val="nil"/>
              <w:left w:val="nil"/>
              <w:bottom w:val="single" w:sz="6" w:space="0" w:color="000000"/>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 xml:space="preserve">$15,836,983 </w:t>
            </w:r>
          </w:p>
        </w:tc>
      </w:tr>
    </w:tbl>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7"/>
          <w:szCs w:val="24"/>
        </w:rPr>
      </w:pP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Book Value of equipment = ($21,500,000 – 3,072,500 – 5,265,350 – 3,760,350 – 2,685,350 – 1,919,950)</w:t>
      </w: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xml:space="preserve">Book Value of equipment = </w:t>
      </w:r>
      <w:r>
        <w:rPr>
          <w:rFonts w:ascii="Times New Roman" w:eastAsia="Times New Roman" w:hAnsi="Times New Roman" w:cs="Times New Roman"/>
          <w:b/>
          <w:color w:val="0000FF"/>
          <w:sz w:val="27"/>
          <w:szCs w:val="24"/>
          <w:u w:val="single"/>
        </w:rPr>
        <w:t>$4,796,650</w:t>
      </w:r>
    </w:p>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7"/>
          <w:szCs w:val="24"/>
        </w:rPr>
      </w:pP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Taxes on sale of equipment = (BV – MV)(</w:t>
      </w:r>
      <w:proofErr w:type="spellStart"/>
      <w:r>
        <w:rPr>
          <w:rFonts w:ascii="Times New Roman" w:eastAsia="Times New Roman" w:hAnsi="Times New Roman" w:cs="Times New Roman"/>
          <w:b/>
          <w:color w:val="0000FF"/>
          <w:sz w:val="27"/>
          <w:szCs w:val="24"/>
        </w:rPr>
        <w:t>t</w:t>
      </w:r>
      <w:r>
        <w:rPr>
          <w:rFonts w:ascii="Times New Roman" w:eastAsia="Times New Roman" w:hAnsi="Times New Roman" w:cs="Times New Roman"/>
          <w:b/>
          <w:color w:val="0000FF"/>
          <w:sz w:val="27"/>
          <w:szCs w:val="24"/>
          <w:vertAlign w:val="subscript"/>
        </w:rPr>
        <w:t>C</w:t>
      </w:r>
      <w:proofErr w:type="spellEnd"/>
      <w:r>
        <w:rPr>
          <w:rFonts w:ascii="Times New Roman" w:eastAsia="Times New Roman" w:hAnsi="Times New Roman" w:cs="Times New Roman"/>
          <w:b/>
          <w:color w:val="0000FF"/>
          <w:sz w:val="27"/>
          <w:szCs w:val="24"/>
        </w:rPr>
        <w:t xml:space="preserve">) = (4,796,650 – 4,100,000)(.35) = </w:t>
      </w:r>
      <w:r>
        <w:rPr>
          <w:rFonts w:ascii="Times New Roman" w:eastAsia="Times New Roman" w:hAnsi="Times New Roman" w:cs="Times New Roman"/>
          <w:b/>
          <w:color w:val="0000FF"/>
          <w:sz w:val="27"/>
          <w:szCs w:val="24"/>
          <w:u w:val="single"/>
        </w:rPr>
        <w:t>$243,828</w:t>
      </w:r>
    </w:p>
    <w:p w:rsidR="0007582D" w:rsidRDefault="0007582D" w:rsidP="0007582D">
      <w:pPr>
        <w:autoSpaceDE w:val="0"/>
        <w:autoSpaceDN w:val="0"/>
        <w:adjustRightInd w:val="0"/>
        <w:spacing w:after="0" w:line="240" w:lineRule="auto"/>
        <w:ind w:left="446"/>
        <w:rPr>
          <w:rFonts w:ascii="Times New Roman" w:eastAsia="Times New Roman" w:hAnsi="Times New Roman" w:cs="Times New Roman"/>
          <w:color w:val="000000"/>
          <w:sz w:val="27"/>
          <w:szCs w:val="24"/>
        </w:rPr>
      </w:pP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xml:space="preserve">Cash Flow on sale of equipment = $4,100,000 + 243,828 = </w:t>
      </w:r>
      <w:r>
        <w:rPr>
          <w:rFonts w:ascii="Times New Roman" w:eastAsia="Times New Roman" w:hAnsi="Times New Roman" w:cs="Times New Roman"/>
          <w:b/>
          <w:color w:val="0000FF"/>
          <w:sz w:val="27"/>
          <w:szCs w:val="24"/>
          <w:u w:val="single"/>
        </w:rPr>
        <w:t>$4,343,828</w:t>
      </w:r>
    </w:p>
    <w:p w:rsidR="0007582D" w:rsidRDefault="0007582D" w:rsidP="0007582D">
      <w:pPr>
        <w:autoSpaceDE w:val="0"/>
        <w:autoSpaceDN w:val="0"/>
        <w:adjustRightInd w:val="0"/>
        <w:spacing w:after="0" w:line="240" w:lineRule="auto"/>
        <w:ind w:left="540"/>
        <w:rPr>
          <w:rFonts w:ascii="Times New Roman" w:eastAsia="Times New Roman" w:hAnsi="Times New Roman" w:cs="Times New Roman"/>
          <w:color w:val="000000"/>
          <w:sz w:val="27"/>
          <w:szCs w:val="24"/>
        </w:rPr>
      </w:pPr>
    </w:p>
    <w:p w:rsidR="0007582D" w:rsidRDefault="0007582D" w:rsidP="0007582D">
      <w:pPr>
        <w:numPr>
          <w:ilvl w:val="0"/>
          <w:numId w:val="1"/>
        </w:numPr>
        <w:autoSpaceDE w:val="0"/>
        <w:autoSpaceDN w:val="0"/>
        <w:adjustRightInd w:val="0"/>
        <w:spacing w:after="0" w:line="240" w:lineRule="auto"/>
        <w:ind w:left="720" w:hanging="360"/>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Project Cash Flows:</w:t>
      </w:r>
    </w:p>
    <w:tbl>
      <w:tblPr>
        <w:tblW w:w="0" w:type="auto"/>
        <w:tblInd w:w="10" w:type="dxa"/>
        <w:tblLayout w:type="fixed"/>
        <w:tblCellMar>
          <w:top w:w="10" w:type="dxa"/>
          <w:left w:w="10" w:type="dxa"/>
          <w:bottom w:w="10" w:type="dxa"/>
          <w:right w:w="10" w:type="dxa"/>
        </w:tblCellMar>
        <w:tblLook w:val="0000" w:firstRow="0" w:lastRow="0" w:firstColumn="0" w:lastColumn="0" w:noHBand="0" w:noVBand="0"/>
      </w:tblPr>
      <w:tblGrid>
        <w:gridCol w:w="271"/>
        <w:gridCol w:w="1900"/>
        <w:gridCol w:w="1560"/>
        <w:gridCol w:w="1760"/>
        <w:gridCol w:w="1560"/>
        <w:gridCol w:w="1560"/>
        <w:gridCol w:w="1560"/>
      </w:tblGrid>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Time</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Cash Flow</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0</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–$21,500,000</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1</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741,573</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2</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7,113,373</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3</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11,572,373</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4</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13,316,123</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r w:rsidR="0007582D">
        <w:tc>
          <w:tcPr>
            <w:tcW w:w="271"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90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5</w:t>
            </w:r>
          </w:p>
        </w:tc>
        <w:tc>
          <w:tcPr>
            <w:tcW w:w="1760" w:type="dxa"/>
            <w:tcBorders>
              <w:top w:val="nil"/>
              <w:left w:val="nil"/>
              <w:bottom w:val="nil"/>
              <w:right w:val="nil"/>
            </w:tcBorders>
          </w:tcPr>
          <w:p w:rsidR="0007582D" w:rsidRDefault="0007582D">
            <w:pPr>
              <w:autoSpaceDE w:val="0"/>
              <w:autoSpaceDN w:val="0"/>
              <w:adjustRightInd w:val="0"/>
              <w:spacing w:after="0" w:line="240" w:lineRule="auto"/>
              <w:jc w:val="right"/>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20,180,810</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c>
          <w:tcPr>
            <w:tcW w:w="1560" w:type="dxa"/>
            <w:tcBorders>
              <w:top w:val="nil"/>
              <w:left w:val="nil"/>
              <w:bottom w:val="nil"/>
              <w:right w:val="nil"/>
            </w:tcBorders>
          </w:tcPr>
          <w:p w:rsidR="0007582D" w:rsidRDefault="0007582D">
            <w:pPr>
              <w:autoSpaceDE w:val="0"/>
              <w:autoSpaceDN w:val="0"/>
              <w:adjustRightInd w:val="0"/>
              <w:spacing w:after="0" w:line="240" w:lineRule="auto"/>
              <w:rPr>
                <w:rFonts w:ascii="Times New Roman" w:eastAsia="Times New Roman" w:hAnsi="Times New Roman" w:cs="Times New Roman"/>
                <w:color w:val="000000"/>
                <w:sz w:val="27"/>
                <w:szCs w:val="24"/>
              </w:rPr>
            </w:pPr>
            <w:r>
              <w:rPr>
                <w:rFonts w:ascii="Times New Roman" w:eastAsia="Times New Roman" w:hAnsi="Times New Roman" w:cs="Times New Roman"/>
                <w:b/>
                <w:color w:val="0000FF"/>
                <w:sz w:val="27"/>
                <w:szCs w:val="24"/>
              </w:rPr>
              <w:t> </w:t>
            </w:r>
          </w:p>
        </w:tc>
      </w:tr>
    </w:tbl>
    <w:p w:rsidR="00005C56" w:rsidRDefault="00005C56">
      <w:bookmarkStart w:id="0" w:name="_GoBack"/>
      <w:bookmarkEnd w:id="0"/>
    </w:p>
    <w:sectPr w:rsidR="0000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08F4AC"/>
    <w:lvl w:ilvl="0">
      <w:numFmt w:val="bullet"/>
      <w:lvlText w:val="*"/>
      <w:lvlJc w:val="left"/>
    </w:lvl>
  </w:abstractNum>
  <w:num w:numId="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2D"/>
    <w:rsid w:val="00005C56"/>
    <w:rsid w:val="0007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2012-01-28T00:02:00Z</dcterms:created>
  <dcterms:modified xsi:type="dcterms:W3CDTF">2012-01-28T00:04:00Z</dcterms:modified>
</cp:coreProperties>
</file>