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1E" w:rsidRPr="00504732" w:rsidRDefault="0031751E" w:rsidP="00A91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504732">
        <w:rPr>
          <w:rFonts w:ascii="Arial" w:hAnsi="Arial" w:cs="Arial"/>
          <w:b/>
          <w:bCs/>
          <w:sz w:val="22"/>
          <w:szCs w:val="22"/>
          <w:u w:val="single"/>
        </w:rPr>
        <w:t xml:space="preserve">Question  </w:t>
      </w:r>
    </w:p>
    <w:p w:rsidR="0031751E" w:rsidRPr="00504732" w:rsidRDefault="0031751E" w:rsidP="00BF79B5">
      <w:pPr>
        <w:rPr>
          <w:rFonts w:ascii="Arial" w:hAnsi="Arial" w:cs="Arial"/>
          <w:sz w:val="22"/>
          <w:szCs w:val="22"/>
        </w:rPr>
      </w:pPr>
      <w:r w:rsidRPr="00504732">
        <w:rPr>
          <w:rFonts w:ascii="Arial" w:hAnsi="Arial" w:cs="Arial"/>
          <w:sz w:val="22"/>
          <w:szCs w:val="22"/>
        </w:rPr>
        <w:t>Interappliance Inc. (II) is a medium sized private company in the business of developing, manufacturing and distributing wireless Internet devices.  These devices permit users to browse the Internet and to send and receive e-mail while mobile.  II’s niche is in commercial Internet devices, which are more durable than retail consumer versions.  II’s special keyboard, the most advanced in the industry, is very small, easy to use and durable.</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According to a leading market research firm, the market for this segment is growing at 70% per annum.  Competition in this segment is fierce. II operates in an industry characterized by heavy expenditures in research and development and products that are regularly updated and revised.  Recent innovations by one of II’s rival suggest that the industry is in a period of intense competition.  Most of II’s production is exported.</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The company was founded by James Scollon, CA and was incorporated in March 2003.  II obtained a $5 million bank loan that was personally guaranteed by Scollon.  According to the loan agreement II must maintain a current ratio of  2:1 at all times otherwise the loan becomes payable. The company has a December 31 year end.  Cotton &amp; King LLP (C&amp;K), a large public accounting firm, have been the auditors since 2003.</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 xml:space="preserve">II operates out of a single location in Canada and has 72 employees.  The company has grown rapidly with annual revenue growth of approximately 40%.  This was less than the forecasted 80% annual growth.  </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Shares of high technology companies have taken a major plunge over the last year.    On the positive side, the tremendous shortage of high tech employees, which had hurt II, has eased due to widespread layoffs in the industry and the downturn in the economy.</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 xml:space="preserve">Cash flow has been tight recently, but II in most cases has been able to pay suppliers on time.  Management is looking at various options of obtaining additional financing over the next year.  One of the considerations is to go public and to issue an initial public offering.  Management is aware that if the company goes public that governance will be more important than it is now. </w:t>
      </w:r>
    </w:p>
    <w:p w:rsidR="0031751E" w:rsidRPr="00504732" w:rsidRDefault="0031751E" w:rsidP="00BF79B5">
      <w:pPr>
        <w:rPr>
          <w:rFonts w:ascii="Arial" w:hAnsi="Arial" w:cs="Arial"/>
          <w:sz w:val="22"/>
          <w:szCs w:val="22"/>
        </w:rPr>
      </w:pPr>
    </w:p>
    <w:p w:rsidR="0031751E" w:rsidRPr="00504732" w:rsidRDefault="0031751E" w:rsidP="00BF79B5">
      <w:pPr>
        <w:rPr>
          <w:rFonts w:ascii="Arial" w:eastAsiaTheme="minorEastAsia" w:hAnsi="Arial" w:cs="Arial" w:hint="eastAsia"/>
          <w:sz w:val="22"/>
          <w:szCs w:val="22"/>
          <w:lang w:eastAsia="zh-CN"/>
        </w:rPr>
      </w:pPr>
      <w:r w:rsidRPr="00504732">
        <w:rPr>
          <w:rFonts w:ascii="Arial" w:hAnsi="Arial" w:cs="Arial"/>
          <w:sz w:val="22"/>
          <w:szCs w:val="22"/>
        </w:rPr>
        <w:t>You are a recently qualified CA with C&amp;K and have been assigned to the audit team for the audit of II’s financial statements for the year ending December 31, 2011.    It is now October 12, 2011 and you have been assigned to start the planning for the year- end audit.   In preparation for the audit planning you obtained the following information:</w:t>
      </w:r>
    </w:p>
    <w:p w:rsidR="0031751E" w:rsidRPr="00504732" w:rsidRDefault="0031751E" w:rsidP="00BF79B5">
      <w:pPr>
        <w:rPr>
          <w:rFonts w:ascii="Arial" w:eastAsiaTheme="minorEastAsia" w:hAnsi="Arial" w:cs="Arial" w:hint="eastAsia"/>
          <w:sz w:val="22"/>
          <w:szCs w:val="22"/>
          <w:lang w:eastAsia="zh-CN"/>
        </w:rPr>
      </w:pPr>
    </w:p>
    <w:p w:rsidR="0031751E" w:rsidRPr="00504732" w:rsidRDefault="0031751E" w:rsidP="00BF79B5">
      <w:pPr>
        <w:numPr>
          <w:ilvl w:val="0"/>
          <w:numId w:val="14"/>
        </w:numPr>
        <w:rPr>
          <w:rFonts w:ascii="Arial" w:hAnsi="Arial" w:cs="Arial"/>
          <w:sz w:val="22"/>
          <w:szCs w:val="22"/>
        </w:rPr>
      </w:pPr>
      <w:r w:rsidRPr="00504732">
        <w:rPr>
          <w:rFonts w:ascii="Arial" w:hAnsi="Arial" w:cs="Arial"/>
          <w:sz w:val="22"/>
          <w:szCs w:val="22"/>
        </w:rPr>
        <w:t>II’s  key financial information for the past two years was:</w:t>
      </w:r>
    </w:p>
    <w:p w:rsidR="0031751E" w:rsidRPr="00504732" w:rsidRDefault="0031751E" w:rsidP="00BF79B5">
      <w:pPr>
        <w:rPr>
          <w:rFonts w:ascii="Arial" w:hAnsi="Arial" w:cs="Arial"/>
          <w:sz w:val="22"/>
          <w:szCs w:val="22"/>
        </w:rPr>
      </w:pPr>
      <w:r w:rsidRPr="00504732">
        <w:rPr>
          <w:rFonts w:ascii="Arial" w:hAnsi="Arial" w:cs="Arial"/>
          <w:sz w:val="22"/>
          <w:szCs w:val="22"/>
        </w:rPr>
        <w:t xml:space="preserve">                                                                                     </w:t>
      </w:r>
    </w:p>
    <w:p w:rsidR="0031751E" w:rsidRPr="00504732" w:rsidRDefault="0031751E" w:rsidP="00BF79B5">
      <w:pPr>
        <w:rPr>
          <w:rFonts w:ascii="Arial" w:hAnsi="Arial" w:cs="Arial"/>
          <w:sz w:val="22"/>
          <w:szCs w:val="22"/>
        </w:rPr>
      </w:pPr>
      <w:r w:rsidRPr="00504732">
        <w:rPr>
          <w:rFonts w:ascii="Arial" w:hAnsi="Arial" w:cs="Arial"/>
          <w:sz w:val="22"/>
          <w:szCs w:val="22"/>
        </w:rPr>
        <w:t xml:space="preserve">                                                                          ( thousands)</w:t>
      </w:r>
    </w:p>
    <w:p w:rsidR="0031751E" w:rsidRPr="00504732" w:rsidRDefault="0031751E" w:rsidP="00BF79B5">
      <w:pPr>
        <w:rPr>
          <w:rFonts w:ascii="Arial" w:hAnsi="Arial" w:cs="Arial"/>
          <w:sz w:val="22"/>
          <w:szCs w:val="22"/>
          <w:u w:val="single"/>
        </w:rPr>
      </w:pPr>
      <w:r w:rsidRPr="00504732">
        <w:rPr>
          <w:rFonts w:ascii="Arial" w:hAnsi="Arial" w:cs="Arial"/>
          <w:sz w:val="22"/>
          <w:szCs w:val="22"/>
        </w:rPr>
        <w:t xml:space="preserve">                                                                    </w:t>
      </w:r>
      <w:r w:rsidRPr="00504732">
        <w:rPr>
          <w:rFonts w:ascii="Arial" w:hAnsi="Arial" w:cs="Arial"/>
          <w:sz w:val="22"/>
          <w:szCs w:val="22"/>
          <w:u w:val="single"/>
        </w:rPr>
        <w:t>2010</w:t>
      </w:r>
      <w:r w:rsidRPr="00504732">
        <w:rPr>
          <w:rFonts w:ascii="Arial" w:hAnsi="Arial" w:cs="Arial"/>
          <w:sz w:val="22"/>
          <w:szCs w:val="22"/>
        </w:rPr>
        <w:t xml:space="preserve">                    </w:t>
      </w:r>
      <w:r w:rsidRPr="00504732">
        <w:rPr>
          <w:rFonts w:ascii="Arial" w:hAnsi="Arial" w:cs="Arial"/>
          <w:sz w:val="22"/>
          <w:szCs w:val="22"/>
          <w:u w:val="single"/>
        </w:rPr>
        <w:t>2009</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Revenues                                                   19,061               14,044</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Net loss before taxes                                   1,800                    230</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Total  assets                                                15,631                 8,908</w:t>
      </w:r>
    </w:p>
    <w:p w:rsidR="0031751E" w:rsidRPr="00504732" w:rsidRDefault="0031751E" w:rsidP="00BF79B5">
      <w:pPr>
        <w:rPr>
          <w:rFonts w:ascii="Arial" w:hAnsi="Arial" w:cs="Arial"/>
          <w:sz w:val="22"/>
          <w:szCs w:val="22"/>
        </w:rPr>
      </w:pPr>
    </w:p>
    <w:p w:rsidR="0031751E" w:rsidRPr="00504732" w:rsidRDefault="0031751E" w:rsidP="00BF79B5">
      <w:pPr>
        <w:numPr>
          <w:ilvl w:val="0"/>
          <w:numId w:val="14"/>
        </w:numPr>
        <w:rPr>
          <w:rFonts w:ascii="Arial" w:hAnsi="Arial" w:cs="Arial"/>
          <w:sz w:val="22"/>
          <w:szCs w:val="22"/>
        </w:rPr>
      </w:pPr>
      <w:r w:rsidRPr="00504732">
        <w:rPr>
          <w:rFonts w:ascii="Arial" w:hAnsi="Arial" w:cs="Arial"/>
          <w:sz w:val="22"/>
          <w:szCs w:val="22"/>
        </w:rPr>
        <w:t xml:space="preserve">During March 2011, Scollon authorized a change in credit policies. Previously, customers were granted credit based upon the credit ratings developed by II’s credit manager, which took into account the outstanding balance of the customer’s account </w:t>
      </w:r>
      <w:r w:rsidRPr="00504732">
        <w:rPr>
          <w:rFonts w:ascii="Arial" w:hAnsi="Arial" w:cs="Arial"/>
          <w:sz w:val="22"/>
          <w:szCs w:val="22"/>
        </w:rPr>
        <w:lastRenderedPageBreak/>
        <w:t>and an analysis of its financial condition. Due to the recent downturn in the economy Scollon decided that II must use a more lenient credit policy to keep sales flowing.</w:t>
      </w:r>
    </w:p>
    <w:p w:rsidR="0031751E" w:rsidRPr="00504732" w:rsidRDefault="0031751E" w:rsidP="00BF79B5">
      <w:pPr>
        <w:rPr>
          <w:rFonts w:ascii="Arial" w:hAnsi="Arial" w:cs="Arial"/>
          <w:sz w:val="22"/>
          <w:szCs w:val="22"/>
        </w:rPr>
      </w:pPr>
    </w:p>
    <w:p w:rsidR="0031751E" w:rsidRPr="00504732" w:rsidRDefault="0031751E" w:rsidP="00BF79B5">
      <w:pPr>
        <w:rPr>
          <w:rFonts w:ascii="Arial" w:hAnsi="Arial" w:cs="Arial"/>
          <w:sz w:val="22"/>
          <w:szCs w:val="22"/>
        </w:rPr>
      </w:pPr>
      <w:r w:rsidRPr="00504732">
        <w:rPr>
          <w:rFonts w:ascii="Arial" w:hAnsi="Arial" w:cs="Arial"/>
          <w:sz w:val="22"/>
          <w:szCs w:val="22"/>
        </w:rPr>
        <w:tab/>
        <w:t xml:space="preserve">Accordingly, as a cost cutting measure, the credit manager was laid off in </w:t>
      </w:r>
      <w:r w:rsidRPr="00504732">
        <w:rPr>
          <w:rFonts w:ascii="Arial" w:hAnsi="Arial" w:cs="Arial"/>
          <w:sz w:val="22"/>
          <w:szCs w:val="22"/>
        </w:rPr>
        <w:tab/>
        <w:t>February  2011.  Scollon now evaluates each customer contract or purchase</w:t>
      </w:r>
    </w:p>
    <w:p w:rsidR="0031751E" w:rsidRPr="00504732" w:rsidRDefault="0031751E" w:rsidP="00BF79B5">
      <w:pPr>
        <w:rPr>
          <w:rFonts w:ascii="Arial" w:hAnsi="Arial" w:cs="Arial"/>
          <w:sz w:val="22"/>
          <w:szCs w:val="22"/>
        </w:rPr>
      </w:pPr>
      <w:r w:rsidRPr="00504732">
        <w:rPr>
          <w:rFonts w:ascii="Arial" w:hAnsi="Arial" w:cs="Arial"/>
          <w:sz w:val="22"/>
          <w:szCs w:val="22"/>
        </w:rPr>
        <w:t xml:space="preserve">           order individually to determine whether credit should be granted. As a result of</w:t>
      </w:r>
    </w:p>
    <w:p w:rsidR="0031751E" w:rsidRPr="00504732" w:rsidRDefault="0031751E" w:rsidP="00BF79B5">
      <w:pPr>
        <w:rPr>
          <w:rFonts w:ascii="Arial" w:hAnsi="Arial" w:cs="Arial"/>
          <w:sz w:val="22"/>
          <w:szCs w:val="22"/>
        </w:rPr>
      </w:pPr>
      <w:r w:rsidRPr="00504732">
        <w:rPr>
          <w:rFonts w:ascii="Arial" w:hAnsi="Arial" w:cs="Arial"/>
          <w:sz w:val="22"/>
          <w:szCs w:val="22"/>
        </w:rPr>
        <w:t xml:space="preserve">           this new  policy, no customer orders were declined for poor credit since February</w:t>
      </w:r>
    </w:p>
    <w:p w:rsidR="0031751E" w:rsidRPr="00504732" w:rsidRDefault="0031751E" w:rsidP="00BF79B5">
      <w:pPr>
        <w:rPr>
          <w:rFonts w:ascii="Arial" w:hAnsi="Arial" w:cs="Arial"/>
          <w:sz w:val="22"/>
          <w:szCs w:val="22"/>
        </w:rPr>
      </w:pPr>
      <w:r w:rsidRPr="00504732">
        <w:rPr>
          <w:rFonts w:ascii="Arial" w:hAnsi="Arial" w:cs="Arial"/>
          <w:sz w:val="22"/>
          <w:szCs w:val="22"/>
        </w:rPr>
        <w:t xml:space="preserve"> </w:t>
      </w:r>
      <w:r w:rsidRPr="00504732">
        <w:rPr>
          <w:rFonts w:ascii="Arial" w:hAnsi="Arial" w:cs="Arial"/>
          <w:sz w:val="22"/>
          <w:szCs w:val="22"/>
        </w:rPr>
        <w:tab/>
        <w:t xml:space="preserve">2011. </w:t>
      </w:r>
    </w:p>
    <w:p w:rsidR="0031751E" w:rsidRPr="00504732" w:rsidRDefault="0031751E" w:rsidP="00BF79B5">
      <w:pPr>
        <w:rPr>
          <w:rFonts w:ascii="Arial" w:hAnsi="Arial" w:cs="Arial"/>
          <w:sz w:val="22"/>
          <w:szCs w:val="22"/>
        </w:rPr>
      </w:pPr>
    </w:p>
    <w:p w:rsidR="0031751E" w:rsidRPr="00504732" w:rsidRDefault="0031751E" w:rsidP="00BF79B5">
      <w:pPr>
        <w:pStyle w:val="BodyText"/>
        <w:widowControl/>
        <w:numPr>
          <w:ilvl w:val="0"/>
          <w:numId w:val="14"/>
        </w:numPr>
        <w:tabs>
          <w:tab w:val="clear" w:pos="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000000"/>
          <w:sz w:val="22"/>
          <w:szCs w:val="22"/>
        </w:rPr>
      </w:pPr>
      <w:r w:rsidRPr="00504732">
        <w:rPr>
          <w:rFonts w:ascii="Arial" w:hAnsi="Arial" w:cs="Arial"/>
          <w:color w:val="000000"/>
          <w:sz w:val="22"/>
          <w:szCs w:val="22"/>
        </w:rPr>
        <w:t xml:space="preserve">Scollon’s wife, Glenda, was hired in early 2009 to replace the accountant who left due to family obligations.  Prior to joining II, Glenda was a bookkeeper for a not for profit organization for 5 years. Glenda regularly consults with Scollon on how to record any complex transactions.   </w:t>
      </w:r>
    </w:p>
    <w:p w:rsidR="0031751E" w:rsidRPr="00504732" w:rsidRDefault="0031751E" w:rsidP="00BF79B5">
      <w:pPr>
        <w:rPr>
          <w:rFonts w:ascii="Arial" w:hAnsi="Arial" w:cs="Arial"/>
          <w:sz w:val="22"/>
          <w:szCs w:val="22"/>
        </w:rPr>
      </w:pPr>
    </w:p>
    <w:p w:rsidR="0031751E" w:rsidRPr="00504732" w:rsidRDefault="0031751E" w:rsidP="00BF79B5">
      <w:pPr>
        <w:numPr>
          <w:ilvl w:val="0"/>
          <w:numId w:val="14"/>
        </w:numPr>
        <w:rPr>
          <w:sz w:val="22"/>
          <w:szCs w:val="22"/>
        </w:rPr>
      </w:pPr>
      <w:r w:rsidRPr="00504732">
        <w:rPr>
          <w:rFonts w:ascii="Arial" w:hAnsi="Arial" w:cs="Arial"/>
          <w:sz w:val="22"/>
          <w:szCs w:val="22"/>
        </w:rPr>
        <w:t>In August 2011, the company was sued by a supplier in California for breach of contract related to the cancellation by II of a firm order for software.  II’s U.S. lawyers have said that they can probably drag out the case until at least February 2012.  The order was for $1,280,000 and this is the amount of the claim.  Scollon believes the company should be able to settle for about half of that amount</w:t>
      </w:r>
      <w:r w:rsidRPr="00504732">
        <w:rPr>
          <w:sz w:val="22"/>
          <w:szCs w:val="22"/>
        </w:rPr>
        <w:t>.</w:t>
      </w:r>
    </w:p>
    <w:p w:rsidR="0031751E" w:rsidRPr="00504732" w:rsidRDefault="0031751E" w:rsidP="00BF79B5">
      <w:pPr>
        <w:rPr>
          <w:rFonts w:ascii="Arial" w:hAnsi="Arial"/>
          <w:b/>
          <w:bCs/>
          <w:sz w:val="22"/>
          <w:szCs w:val="22"/>
          <w:u w:val="single"/>
        </w:rPr>
      </w:pPr>
      <w:r w:rsidRPr="00504732">
        <w:rPr>
          <w:rFonts w:ascii="Arial" w:hAnsi="Arial"/>
          <w:b/>
          <w:bCs/>
          <w:sz w:val="22"/>
          <w:szCs w:val="22"/>
          <w:u w:val="single"/>
        </w:rPr>
        <w:t>Required</w:t>
      </w:r>
    </w:p>
    <w:p w:rsidR="0031751E" w:rsidRPr="00504732" w:rsidRDefault="0031751E" w:rsidP="00BF79B5">
      <w:pPr>
        <w:rPr>
          <w:rFonts w:ascii="Arial" w:eastAsiaTheme="minorEastAsia" w:hAnsi="Arial" w:hint="eastAsia"/>
          <w:sz w:val="22"/>
          <w:szCs w:val="22"/>
          <w:lang w:eastAsia="zh-CN"/>
        </w:rPr>
      </w:pPr>
      <w:r w:rsidRPr="00504732">
        <w:rPr>
          <w:rFonts w:ascii="Arial" w:hAnsi="Arial"/>
          <w:sz w:val="22"/>
          <w:szCs w:val="22"/>
        </w:rPr>
        <w:t>a) Based upon the above information, what are three industry and environmental factors that increase II’s business risk? Explain why. Link the business risk factors you identified to specific risks of material misstatements.  Use the following table to complete your answer. (6 marks)</w:t>
      </w:r>
    </w:p>
    <w:p w:rsidR="0031751E" w:rsidRPr="00504732" w:rsidRDefault="0031751E" w:rsidP="00BF79B5">
      <w:pPr>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61"/>
        <w:gridCol w:w="5103"/>
      </w:tblGrid>
      <w:tr w:rsidR="0031751E" w:rsidRPr="00504732" w:rsidTr="00504732">
        <w:trPr>
          <w:trHeight w:val="687"/>
        </w:trPr>
        <w:tc>
          <w:tcPr>
            <w:tcW w:w="4361" w:type="dxa"/>
          </w:tcPr>
          <w:p w:rsidR="0031751E" w:rsidRPr="00504732" w:rsidRDefault="0031751E" w:rsidP="00BF79B5">
            <w:pPr>
              <w:rPr>
                <w:rFonts w:ascii="Times" w:hAnsi="Times"/>
                <w:sz w:val="22"/>
                <w:szCs w:val="22"/>
              </w:rPr>
            </w:pPr>
            <w:r w:rsidRPr="00504732">
              <w:rPr>
                <w:rFonts w:ascii="Arial" w:hAnsi="Arial"/>
                <w:sz w:val="22"/>
                <w:szCs w:val="22"/>
              </w:rPr>
              <w:t>Identify business risk. Explain why.)</w:t>
            </w:r>
          </w:p>
          <w:p w:rsidR="0031751E" w:rsidRPr="00504732" w:rsidRDefault="0031751E" w:rsidP="00890F75">
            <w:pPr>
              <w:spacing w:line="480" w:lineRule="auto"/>
              <w:rPr>
                <w:rFonts w:ascii="Arial" w:hAnsi="Arial"/>
                <w:sz w:val="22"/>
                <w:szCs w:val="22"/>
              </w:rPr>
            </w:pPr>
          </w:p>
        </w:tc>
        <w:tc>
          <w:tcPr>
            <w:tcW w:w="5103" w:type="dxa"/>
          </w:tcPr>
          <w:p w:rsidR="0031751E" w:rsidRPr="00504732" w:rsidRDefault="0031751E" w:rsidP="00890F75">
            <w:pPr>
              <w:rPr>
                <w:rFonts w:ascii="Arial" w:hAnsi="Arial"/>
                <w:sz w:val="22"/>
                <w:szCs w:val="22"/>
              </w:rPr>
            </w:pPr>
            <w:r w:rsidRPr="00504732">
              <w:rPr>
                <w:rFonts w:ascii="Arial" w:hAnsi="Arial"/>
                <w:sz w:val="22"/>
                <w:szCs w:val="22"/>
              </w:rPr>
              <w:t xml:space="preserve">Link to risk of material misstatement </w:t>
            </w:r>
          </w:p>
          <w:p w:rsidR="0031751E" w:rsidRPr="00504732" w:rsidRDefault="0031751E" w:rsidP="00890F75">
            <w:pPr>
              <w:rPr>
                <w:rFonts w:ascii="Times" w:hAnsi="Times"/>
                <w:sz w:val="22"/>
                <w:szCs w:val="22"/>
              </w:rPr>
            </w:pPr>
          </w:p>
          <w:p w:rsidR="0031751E" w:rsidRPr="00504732" w:rsidRDefault="0031751E" w:rsidP="00890F75">
            <w:pPr>
              <w:rPr>
                <w:rFonts w:ascii="Arial" w:hAnsi="Arial"/>
                <w:sz w:val="22"/>
                <w:szCs w:val="22"/>
              </w:rPr>
            </w:pPr>
          </w:p>
          <w:p w:rsidR="0031751E" w:rsidRPr="00504732" w:rsidRDefault="0031751E" w:rsidP="00890F75">
            <w:pPr>
              <w:rPr>
                <w:rFonts w:ascii="Arial" w:hAnsi="Arial"/>
                <w:sz w:val="22"/>
                <w:szCs w:val="22"/>
              </w:rPr>
            </w:pPr>
          </w:p>
        </w:tc>
      </w:tr>
      <w:tr w:rsidR="0031751E" w:rsidRPr="00504732" w:rsidTr="00504732">
        <w:tc>
          <w:tcPr>
            <w:tcW w:w="4361" w:type="dxa"/>
          </w:tcPr>
          <w:p w:rsidR="0031751E" w:rsidRPr="00504732" w:rsidRDefault="0031751E" w:rsidP="00890F75">
            <w:pPr>
              <w:spacing w:line="480" w:lineRule="auto"/>
              <w:rPr>
                <w:rFonts w:ascii="Arial" w:hAnsi="Arial"/>
                <w:sz w:val="22"/>
                <w:szCs w:val="22"/>
              </w:rPr>
            </w:pPr>
            <w:r w:rsidRPr="00504732">
              <w:rPr>
                <w:rFonts w:ascii="Arial" w:hAnsi="Arial"/>
                <w:sz w:val="22"/>
                <w:szCs w:val="22"/>
              </w:rPr>
              <w:t>1.</w:t>
            </w: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tc>
        <w:tc>
          <w:tcPr>
            <w:tcW w:w="5103" w:type="dxa"/>
          </w:tcPr>
          <w:p w:rsidR="0031751E" w:rsidRPr="00504732" w:rsidRDefault="0031751E" w:rsidP="00890F75">
            <w:pPr>
              <w:spacing w:line="480" w:lineRule="auto"/>
              <w:rPr>
                <w:rFonts w:ascii="Arial" w:hAnsi="Arial"/>
                <w:sz w:val="22"/>
                <w:szCs w:val="22"/>
              </w:rPr>
            </w:pPr>
          </w:p>
        </w:tc>
      </w:tr>
      <w:tr w:rsidR="0031751E" w:rsidRPr="00504732" w:rsidTr="00504732">
        <w:trPr>
          <w:trHeight w:val="3234"/>
        </w:trPr>
        <w:tc>
          <w:tcPr>
            <w:tcW w:w="4361" w:type="dxa"/>
          </w:tcPr>
          <w:p w:rsidR="0031751E" w:rsidRPr="00504732" w:rsidRDefault="0031751E" w:rsidP="00890F75">
            <w:pPr>
              <w:spacing w:line="480" w:lineRule="auto"/>
              <w:rPr>
                <w:rFonts w:ascii="Arial" w:hAnsi="Arial"/>
                <w:sz w:val="22"/>
                <w:szCs w:val="22"/>
              </w:rPr>
            </w:pPr>
            <w:r w:rsidRPr="00504732">
              <w:rPr>
                <w:rFonts w:ascii="Arial" w:hAnsi="Arial"/>
                <w:sz w:val="22"/>
                <w:szCs w:val="22"/>
              </w:rPr>
              <w:lastRenderedPageBreak/>
              <w:t>2.</w:t>
            </w: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tc>
        <w:tc>
          <w:tcPr>
            <w:tcW w:w="5103" w:type="dxa"/>
          </w:tcPr>
          <w:p w:rsidR="0031751E" w:rsidRPr="00504732" w:rsidRDefault="0031751E" w:rsidP="00890F75">
            <w:pPr>
              <w:spacing w:line="480" w:lineRule="auto"/>
              <w:rPr>
                <w:rFonts w:ascii="Arial" w:hAnsi="Arial"/>
                <w:sz w:val="22"/>
                <w:szCs w:val="22"/>
              </w:rPr>
            </w:pPr>
          </w:p>
        </w:tc>
      </w:tr>
      <w:tr w:rsidR="0031751E" w:rsidRPr="00504732" w:rsidTr="00504732">
        <w:tc>
          <w:tcPr>
            <w:tcW w:w="4361" w:type="dxa"/>
          </w:tcPr>
          <w:p w:rsidR="0031751E" w:rsidRPr="00504732" w:rsidRDefault="0031751E" w:rsidP="00890F75">
            <w:pPr>
              <w:spacing w:line="480" w:lineRule="auto"/>
              <w:rPr>
                <w:rFonts w:ascii="Arial" w:hAnsi="Arial"/>
                <w:sz w:val="22"/>
                <w:szCs w:val="22"/>
              </w:rPr>
            </w:pPr>
            <w:r w:rsidRPr="00504732">
              <w:rPr>
                <w:rFonts w:ascii="Arial" w:hAnsi="Arial"/>
                <w:sz w:val="22"/>
                <w:szCs w:val="22"/>
              </w:rPr>
              <w:t>3.</w:t>
            </w: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p w:rsidR="0031751E" w:rsidRPr="00504732" w:rsidRDefault="0031751E" w:rsidP="00890F75">
            <w:pPr>
              <w:spacing w:line="480" w:lineRule="auto"/>
              <w:rPr>
                <w:rFonts w:ascii="Arial" w:hAnsi="Arial"/>
                <w:sz w:val="22"/>
                <w:szCs w:val="22"/>
              </w:rPr>
            </w:pPr>
          </w:p>
        </w:tc>
        <w:tc>
          <w:tcPr>
            <w:tcW w:w="5103" w:type="dxa"/>
          </w:tcPr>
          <w:p w:rsidR="0031751E" w:rsidRPr="00504732" w:rsidRDefault="0031751E" w:rsidP="00890F75">
            <w:pPr>
              <w:spacing w:line="480" w:lineRule="auto"/>
              <w:rPr>
                <w:rFonts w:ascii="Arial" w:hAnsi="Arial"/>
                <w:sz w:val="22"/>
                <w:szCs w:val="22"/>
              </w:rPr>
            </w:pPr>
          </w:p>
        </w:tc>
      </w:tr>
    </w:tbl>
    <w:p w:rsidR="0031751E" w:rsidRPr="00504732" w:rsidRDefault="0031751E" w:rsidP="00BF79B5">
      <w:pPr>
        <w:pStyle w:val="Heading8"/>
        <w:rPr>
          <w:rFonts w:ascii="Arial" w:eastAsiaTheme="minorEastAsia" w:hAnsi="Arial" w:hint="eastAsia"/>
          <w:i w:val="0"/>
          <w:iCs w:val="0"/>
          <w:sz w:val="22"/>
          <w:szCs w:val="22"/>
          <w:lang w:eastAsia="zh-CN"/>
        </w:rPr>
      </w:pPr>
    </w:p>
    <w:p w:rsidR="0031751E" w:rsidRPr="00504732" w:rsidRDefault="0031751E" w:rsidP="00BF79B5">
      <w:pPr>
        <w:pStyle w:val="Heading8"/>
        <w:rPr>
          <w:rFonts w:ascii="Arial" w:hAnsi="Arial"/>
          <w:i w:val="0"/>
          <w:iCs w:val="0"/>
          <w:sz w:val="22"/>
          <w:szCs w:val="22"/>
        </w:rPr>
      </w:pPr>
      <w:r w:rsidRPr="00504732">
        <w:rPr>
          <w:rFonts w:ascii="Arial" w:hAnsi="Arial"/>
          <w:i w:val="0"/>
          <w:iCs w:val="0"/>
          <w:sz w:val="22"/>
          <w:szCs w:val="22"/>
        </w:rPr>
        <w:t xml:space="preserve">b) What would you set audit risk (high, medium, or low) for the II audit engagement? Explain why. </w:t>
      </w:r>
    </w:p>
    <w:p w:rsidR="0031751E" w:rsidRPr="00504732" w:rsidRDefault="0031751E" w:rsidP="00BF79B5">
      <w:pPr>
        <w:pStyle w:val="BodyText"/>
        <w:jc w:val="left"/>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rPr>
          <w:rFonts w:cs="Arial"/>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ascii="Arial" w:eastAsiaTheme="minorEastAsia" w:hAnsi="Arial" w:hint="eastAsia"/>
          <w:sz w:val="22"/>
          <w:szCs w:val="22"/>
          <w:lang w:eastAsia="zh-CN"/>
        </w:rPr>
      </w:pPr>
    </w:p>
    <w:p w:rsidR="0031751E" w:rsidRPr="00504732" w:rsidRDefault="0031751E" w:rsidP="00BF79B5">
      <w:pPr>
        <w:rPr>
          <w:rFonts w:ascii="Arial" w:hAnsi="Arial"/>
          <w:sz w:val="22"/>
          <w:szCs w:val="22"/>
        </w:rPr>
      </w:pPr>
      <w:r w:rsidRPr="00504732">
        <w:rPr>
          <w:rFonts w:ascii="Arial" w:hAnsi="Arial"/>
          <w:sz w:val="22"/>
          <w:szCs w:val="22"/>
        </w:rPr>
        <w:t xml:space="preserve">c) Based upon your analysis in (a) what two financial statement accounts would  be high inherent risk? Explain why – include in this discussion the most relevant assertions and the potential misstatement for the account. </w:t>
      </w:r>
    </w:p>
    <w:p w:rsidR="0031751E" w:rsidRPr="00504732" w:rsidRDefault="0031751E" w:rsidP="00BF79B5">
      <w:pPr>
        <w:rPr>
          <w:rFonts w:ascii="Times" w:hAnsi="Times"/>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
        <w:jc w:val="left"/>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cs="Arial"/>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cs="Arial"/>
          <w:sz w:val="22"/>
          <w:szCs w:val="22"/>
        </w:rPr>
      </w:pPr>
    </w:p>
    <w:p w:rsidR="0031751E" w:rsidRPr="00504732" w:rsidRDefault="0031751E" w:rsidP="00BF79B5">
      <w:pPr>
        <w:rPr>
          <w:rFonts w:cs="Arial"/>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cs="Arial"/>
          <w:sz w:val="22"/>
          <w:szCs w:val="22"/>
        </w:rPr>
      </w:pPr>
    </w:p>
    <w:p w:rsidR="0031751E" w:rsidRPr="00504732" w:rsidRDefault="0031751E" w:rsidP="00BF7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31751E" w:rsidRPr="00504732" w:rsidRDefault="0031751E" w:rsidP="00BF79B5">
      <w:pPr>
        <w:pStyle w:val="BodyText"/>
        <w:jc w:val="left"/>
        <w:rPr>
          <w:sz w:val="22"/>
          <w:szCs w:val="22"/>
        </w:rPr>
      </w:pPr>
      <w:r w:rsidRPr="00504732">
        <w:rPr>
          <w:sz w:val="22"/>
          <w:szCs w:val="22"/>
        </w:rPr>
        <w:lastRenderedPageBreak/>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eastAsiaTheme="minorEastAsia" w:hint="eastAsia"/>
          <w:sz w:val="22"/>
          <w:szCs w:val="22"/>
          <w:lang w:eastAsia="zh-CN"/>
        </w:rPr>
      </w:pPr>
    </w:p>
    <w:p w:rsidR="0031751E" w:rsidRPr="00504732" w:rsidRDefault="0031751E" w:rsidP="00BF79B5">
      <w:pPr>
        <w:rPr>
          <w:rFonts w:ascii="Times" w:hAnsi="Times"/>
          <w:sz w:val="22"/>
          <w:szCs w:val="22"/>
        </w:rPr>
      </w:pPr>
      <w:r w:rsidRPr="00504732">
        <w:rPr>
          <w:sz w:val="22"/>
          <w:szCs w:val="22"/>
        </w:rPr>
        <w:t>d</w:t>
      </w:r>
      <w:r w:rsidRPr="00504732">
        <w:rPr>
          <w:rFonts w:ascii="Arial" w:hAnsi="Arial" w:cs="Arial"/>
          <w:sz w:val="22"/>
          <w:szCs w:val="22"/>
        </w:rPr>
        <w:t>) Provide a recommendation for the appropriate materiality benchmark (base) and the related appropriate percentage for the II audit and explain why.</w:t>
      </w:r>
      <w:r w:rsidRPr="00504732">
        <w:rPr>
          <w:rFonts w:ascii="Arial" w:hAnsi="Arial"/>
          <w:sz w:val="22"/>
          <w:szCs w:val="22"/>
        </w:rPr>
        <w:t>)</w:t>
      </w:r>
    </w:p>
    <w:p w:rsidR="0031751E" w:rsidRPr="00504732" w:rsidRDefault="0031751E" w:rsidP="00BF79B5">
      <w:pPr>
        <w:rPr>
          <w:rFonts w:ascii="Arial" w:hAnsi="Arial"/>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cs="Arial"/>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rPr>
          <w:rFonts w:cs="Arial"/>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p w:rsidR="0031751E" w:rsidRPr="00504732" w:rsidRDefault="0031751E" w:rsidP="00BF79B5">
      <w:pPr>
        <w:pStyle w:val="BodyText"/>
        <w:jc w:val="left"/>
        <w:rPr>
          <w:sz w:val="22"/>
          <w:szCs w:val="22"/>
        </w:rPr>
      </w:pPr>
      <w:r w:rsidRPr="00504732">
        <w:rPr>
          <w:sz w:val="22"/>
          <w:szCs w:val="22"/>
        </w:rPr>
        <w:t>________________________________________________________________________</w:t>
      </w:r>
    </w:p>
    <w:p w:rsidR="0031751E" w:rsidRPr="00504732" w:rsidRDefault="0031751E" w:rsidP="00BF79B5">
      <w:pPr>
        <w:pStyle w:val="BodyTextIndent"/>
        <w:ind w:left="720" w:hanging="720"/>
        <w:rPr>
          <w:sz w:val="22"/>
          <w:szCs w:val="22"/>
        </w:rPr>
      </w:pPr>
    </w:p>
    <w:sectPr w:rsidR="0031751E" w:rsidRPr="00504732" w:rsidSect="00ED00E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58" w:rsidRDefault="003B7E58" w:rsidP="00ED4857">
      <w:r>
        <w:separator/>
      </w:r>
    </w:p>
  </w:endnote>
  <w:endnote w:type="continuationSeparator" w:id="1">
    <w:p w:rsidR="003B7E58" w:rsidRDefault="003B7E58" w:rsidP="00ED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om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58" w:rsidRDefault="003B7E58" w:rsidP="00ED4857">
      <w:r>
        <w:separator/>
      </w:r>
    </w:p>
  </w:footnote>
  <w:footnote w:type="continuationSeparator" w:id="1">
    <w:p w:rsidR="003B7E58" w:rsidRDefault="003B7E58" w:rsidP="00ED4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E" w:rsidRPr="000C596E" w:rsidRDefault="0031751E" w:rsidP="00A91C4F">
    <w:pPr>
      <w:pStyle w:val="Header"/>
    </w:pPr>
    <w:r w:rsidRPr="000C596E">
      <w:t xml:space="preserve"> </w:t>
    </w:r>
  </w:p>
  <w:p w:rsidR="0031751E" w:rsidRDefault="00317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00"/>
    <w:lvl w:ilvl="0">
      <w:start w:val="1"/>
      <w:numFmt w:val="decimal"/>
      <w:pStyle w:val="Level1"/>
      <w:lvlText w:val="%1."/>
      <w:lvlJc w:val="left"/>
      <w:pPr>
        <w:tabs>
          <w:tab w:val="num" w:pos="360"/>
        </w:tabs>
        <w:ind w:left="720" w:hanging="720"/>
      </w:pPr>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8817862"/>
    <w:multiLevelType w:val="hybridMultilevel"/>
    <w:tmpl w:val="E2021780"/>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89E5654"/>
    <w:multiLevelType w:val="hybridMultilevel"/>
    <w:tmpl w:val="4F6434FC"/>
    <w:lvl w:ilvl="0" w:tplc="10090017">
      <w:start w:val="6"/>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8CD600E"/>
    <w:multiLevelType w:val="hybridMultilevel"/>
    <w:tmpl w:val="53CC330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9512599"/>
    <w:multiLevelType w:val="hybridMultilevel"/>
    <w:tmpl w:val="F36294C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F5F1AC4"/>
    <w:multiLevelType w:val="hybridMultilevel"/>
    <w:tmpl w:val="CE82F0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EAC0E99"/>
    <w:multiLevelType w:val="hybridMultilevel"/>
    <w:tmpl w:val="7FB6F89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41436E00"/>
    <w:multiLevelType w:val="hybridMultilevel"/>
    <w:tmpl w:val="229ADD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54EA6F02"/>
    <w:multiLevelType w:val="hybridMultilevel"/>
    <w:tmpl w:val="BD3AEEAA"/>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5ADA335B"/>
    <w:multiLevelType w:val="hybridMultilevel"/>
    <w:tmpl w:val="B920721E"/>
    <w:lvl w:ilvl="0" w:tplc="1206622E">
      <w:start w:val="1"/>
      <w:numFmt w:val="lowerLetter"/>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5DFA7F08"/>
    <w:multiLevelType w:val="hybridMultilevel"/>
    <w:tmpl w:val="649410AE"/>
    <w:lvl w:ilvl="0" w:tplc="4100F9B0">
      <w:start w:val="1"/>
      <w:numFmt w:val="lowerRoman"/>
      <w:lvlText w:val="%1)"/>
      <w:lvlJc w:val="left"/>
      <w:pPr>
        <w:ind w:left="840" w:hanging="720"/>
      </w:pPr>
      <w:rPr>
        <w:rFonts w:cs="Times New Roman" w:hint="default"/>
      </w:rPr>
    </w:lvl>
    <w:lvl w:ilvl="1" w:tplc="10090019" w:tentative="1">
      <w:start w:val="1"/>
      <w:numFmt w:val="lowerLetter"/>
      <w:lvlText w:val="%2."/>
      <w:lvlJc w:val="left"/>
      <w:pPr>
        <w:ind w:left="1200" w:hanging="360"/>
      </w:pPr>
      <w:rPr>
        <w:rFonts w:cs="Times New Roman"/>
      </w:rPr>
    </w:lvl>
    <w:lvl w:ilvl="2" w:tplc="1009001B" w:tentative="1">
      <w:start w:val="1"/>
      <w:numFmt w:val="lowerRoman"/>
      <w:lvlText w:val="%3."/>
      <w:lvlJc w:val="right"/>
      <w:pPr>
        <w:ind w:left="1920" w:hanging="180"/>
      </w:pPr>
      <w:rPr>
        <w:rFonts w:cs="Times New Roman"/>
      </w:rPr>
    </w:lvl>
    <w:lvl w:ilvl="3" w:tplc="1009000F" w:tentative="1">
      <w:start w:val="1"/>
      <w:numFmt w:val="decimal"/>
      <w:lvlText w:val="%4."/>
      <w:lvlJc w:val="left"/>
      <w:pPr>
        <w:ind w:left="2640" w:hanging="360"/>
      </w:pPr>
      <w:rPr>
        <w:rFonts w:cs="Times New Roman"/>
      </w:rPr>
    </w:lvl>
    <w:lvl w:ilvl="4" w:tplc="10090019" w:tentative="1">
      <w:start w:val="1"/>
      <w:numFmt w:val="lowerLetter"/>
      <w:lvlText w:val="%5."/>
      <w:lvlJc w:val="left"/>
      <w:pPr>
        <w:ind w:left="3360" w:hanging="360"/>
      </w:pPr>
      <w:rPr>
        <w:rFonts w:cs="Times New Roman"/>
      </w:rPr>
    </w:lvl>
    <w:lvl w:ilvl="5" w:tplc="1009001B" w:tentative="1">
      <w:start w:val="1"/>
      <w:numFmt w:val="lowerRoman"/>
      <w:lvlText w:val="%6."/>
      <w:lvlJc w:val="right"/>
      <w:pPr>
        <w:ind w:left="4080" w:hanging="180"/>
      </w:pPr>
      <w:rPr>
        <w:rFonts w:cs="Times New Roman"/>
      </w:rPr>
    </w:lvl>
    <w:lvl w:ilvl="6" w:tplc="1009000F" w:tentative="1">
      <w:start w:val="1"/>
      <w:numFmt w:val="decimal"/>
      <w:lvlText w:val="%7."/>
      <w:lvlJc w:val="left"/>
      <w:pPr>
        <w:ind w:left="4800" w:hanging="360"/>
      </w:pPr>
      <w:rPr>
        <w:rFonts w:cs="Times New Roman"/>
      </w:rPr>
    </w:lvl>
    <w:lvl w:ilvl="7" w:tplc="10090019" w:tentative="1">
      <w:start w:val="1"/>
      <w:numFmt w:val="lowerLetter"/>
      <w:lvlText w:val="%8."/>
      <w:lvlJc w:val="left"/>
      <w:pPr>
        <w:ind w:left="5520" w:hanging="360"/>
      </w:pPr>
      <w:rPr>
        <w:rFonts w:cs="Times New Roman"/>
      </w:rPr>
    </w:lvl>
    <w:lvl w:ilvl="8" w:tplc="1009001B" w:tentative="1">
      <w:start w:val="1"/>
      <w:numFmt w:val="lowerRoman"/>
      <w:lvlText w:val="%9."/>
      <w:lvlJc w:val="right"/>
      <w:pPr>
        <w:ind w:left="6240" w:hanging="180"/>
      </w:pPr>
      <w:rPr>
        <w:rFonts w:cs="Times New Roman"/>
      </w:rPr>
    </w:lvl>
  </w:abstractNum>
  <w:abstractNum w:abstractNumId="11">
    <w:nsid w:val="6128064C"/>
    <w:multiLevelType w:val="hybridMultilevel"/>
    <w:tmpl w:val="A2426C1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662028CE"/>
    <w:multiLevelType w:val="hybridMultilevel"/>
    <w:tmpl w:val="582E77E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226AD9"/>
    <w:multiLevelType w:val="hybridMultilevel"/>
    <w:tmpl w:val="2DF2180A"/>
    <w:lvl w:ilvl="0" w:tplc="06D4D94E">
      <w:start w:val="1"/>
      <w:numFmt w:val="lowerLetter"/>
      <w:lvlText w:val="%1."/>
      <w:lvlJc w:val="left"/>
      <w:pPr>
        <w:tabs>
          <w:tab w:val="num" w:pos="360"/>
        </w:tabs>
        <w:ind w:left="360" w:hanging="360"/>
      </w:pPr>
      <w:rPr>
        <w:rFonts w:ascii="Arial" w:hAnsi="Arial" w:cs="Times New Roman"/>
        <w:sz w:val="22"/>
      </w:rPr>
    </w:lvl>
    <w:lvl w:ilvl="1" w:tplc="00190409" w:tentative="1">
      <w:start w:val="1"/>
      <w:numFmt w:val="lowerLetter"/>
      <w:lvlText w:val="%2."/>
      <w:lvlJc w:val="left"/>
      <w:pPr>
        <w:tabs>
          <w:tab w:val="num" w:pos="720"/>
        </w:tabs>
        <w:ind w:left="720" w:hanging="360"/>
      </w:pPr>
      <w:rPr>
        <w:rFonts w:cs="Times New Roman"/>
      </w:rPr>
    </w:lvl>
    <w:lvl w:ilvl="2" w:tplc="001B0409" w:tentative="1">
      <w:start w:val="1"/>
      <w:numFmt w:val="lowerRoman"/>
      <w:lvlText w:val="%3."/>
      <w:lvlJc w:val="right"/>
      <w:pPr>
        <w:tabs>
          <w:tab w:val="num" w:pos="1440"/>
        </w:tabs>
        <w:ind w:left="1440" w:hanging="180"/>
      </w:pPr>
      <w:rPr>
        <w:rFonts w:cs="Times New Roman"/>
      </w:rPr>
    </w:lvl>
    <w:lvl w:ilvl="3" w:tplc="000F0409" w:tentative="1">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14">
    <w:nsid w:val="6E5D2C65"/>
    <w:multiLevelType w:val="hybridMultilevel"/>
    <w:tmpl w:val="C60A160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0"/>
    <w:lvlOverride w:ilvl="0">
      <w:startOverride w:val="14"/>
      <w:lvl w:ilvl="0">
        <w:start w:val="14"/>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4">
    <w:abstractNumId w:val="14"/>
  </w:num>
  <w:num w:numId="5">
    <w:abstractNumId w:val="10"/>
  </w:num>
  <w:num w:numId="6">
    <w:abstractNumId w:val="3"/>
  </w:num>
  <w:num w:numId="7">
    <w:abstractNumId w:val="4"/>
  </w:num>
  <w:num w:numId="8">
    <w:abstractNumId w:val="8"/>
  </w:num>
  <w:num w:numId="9">
    <w:abstractNumId w:val="7"/>
  </w:num>
  <w:num w:numId="10">
    <w:abstractNumId w:val="2"/>
  </w:num>
  <w:num w:numId="11">
    <w:abstractNumId w:val="12"/>
  </w:num>
  <w:num w:numId="12">
    <w:abstractNumId w:val="6"/>
  </w:num>
  <w:num w:numId="13">
    <w:abstractNumId w:val="11"/>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429"/>
    <w:rsid w:val="00001D05"/>
    <w:rsid w:val="00026A1B"/>
    <w:rsid w:val="000B4491"/>
    <w:rsid w:val="000B483F"/>
    <w:rsid w:val="000C596E"/>
    <w:rsid w:val="000F3152"/>
    <w:rsid w:val="00100B49"/>
    <w:rsid w:val="00103318"/>
    <w:rsid w:val="00112B2F"/>
    <w:rsid w:val="00126472"/>
    <w:rsid w:val="0013277A"/>
    <w:rsid w:val="00133D94"/>
    <w:rsid w:val="0019683B"/>
    <w:rsid w:val="001A54B2"/>
    <w:rsid w:val="001B47F8"/>
    <w:rsid w:val="001C19AB"/>
    <w:rsid w:val="001D09E1"/>
    <w:rsid w:val="00207FA6"/>
    <w:rsid w:val="00215662"/>
    <w:rsid w:val="002257CE"/>
    <w:rsid w:val="0024781A"/>
    <w:rsid w:val="00256BD3"/>
    <w:rsid w:val="002644CD"/>
    <w:rsid w:val="002929CE"/>
    <w:rsid w:val="002C4431"/>
    <w:rsid w:val="002C6EEE"/>
    <w:rsid w:val="00301F7D"/>
    <w:rsid w:val="0031751E"/>
    <w:rsid w:val="003337B2"/>
    <w:rsid w:val="00344291"/>
    <w:rsid w:val="003535DA"/>
    <w:rsid w:val="00353979"/>
    <w:rsid w:val="00362073"/>
    <w:rsid w:val="00387187"/>
    <w:rsid w:val="00395D90"/>
    <w:rsid w:val="003B7E58"/>
    <w:rsid w:val="003C5429"/>
    <w:rsid w:val="00431EA7"/>
    <w:rsid w:val="00446522"/>
    <w:rsid w:val="004519F9"/>
    <w:rsid w:val="00466443"/>
    <w:rsid w:val="004664C7"/>
    <w:rsid w:val="00471DE3"/>
    <w:rsid w:val="004729B4"/>
    <w:rsid w:val="00475819"/>
    <w:rsid w:val="004A45C1"/>
    <w:rsid w:val="004A5CE2"/>
    <w:rsid w:val="004C6667"/>
    <w:rsid w:val="004E2CC3"/>
    <w:rsid w:val="004E55C3"/>
    <w:rsid w:val="004F4894"/>
    <w:rsid w:val="00504732"/>
    <w:rsid w:val="00510783"/>
    <w:rsid w:val="00521463"/>
    <w:rsid w:val="00523090"/>
    <w:rsid w:val="00523357"/>
    <w:rsid w:val="00533BF0"/>
    <w:rsid w:val="005938D5"/>
    <w:rsid w:val="005B00C4"/>
    <w:rsid w:val="005B7F44"/>
    <w:rsid w:val="00611764"/>
    <w:rsid w:val="00621626"/>
    <w:rsid w:val="006233A6"/>
    <w:rsid w:val="00665A44"/>
    <w:rsid w:val="006713BC"/>
    <w:rsid w:val="006720A5"/>
    <w:rsid w:val="006836D0"/>
    <w:rsid w:val="006B2611"/>
    <w:rsid w:val="006C54EC"/>
    <w:rsid w:val="006D3D68"/>
    <w:rsid w:val="006D642F"/>
    <w:rsid w:val="006E37BD"/>
    <w:rsid w:val="007041EF"/>
    <w:rsid w:val="00710D51"/>
    <w:rsid w:val="00717427"/>
    <w:rsid w:val="0075651B"/>
    <w:rsid w:val="00760807"/>
    <w:rsid w:val="00763653"/>
    <w:rsid w:val="00773461"/>
    <w:rsid w:val="00783ED9"/>
    <w:rsid w:val="007A7841"/>
    <w:rsid w:val="007C14CD"/>
    <w:rsid w:val="007D03FF"/>
    <w:rsid w:val="00803A93"/>
    <w:rsid w:val="008579B5"/>
    <w:rsid w:val="00890F75"/>
    <w:rsid w:val="008A27B2"/>
    <w:rsid w:val="008C44BB"/>
    <w:rsid w:val="008D25B6"/>
    <w:rsid w:val="008E3292"/>
    <w:rsid w:val="008E36A2"/>
    <w:rsid w:val="008E6943"/>
    <w:rsid w:val="008F72A6"/>
    <w:rsid w:val="00923FBE"/>
    <w:rsid w:val="00941D15"/>
    <w:rsid w:val="00965624"/>
    <w:rsid w:val="00965AD9"/>
    <w:rsid w:val="00990CE8"/>
    <w:rsid w:val="009A3B66"/>
    <w:rsid w:val="009C5ADD"/>
    <w:rsid w:val="00A0111C"/>
    <w:rsid w:val="00A06B92"/>
    <w:rsid w:val="00A0727D"/>
    <w:rsid w:val="00A3085B"/>
    <w:rsid w:val="00A4366E"/>
    <w:rsid w:val="00A830F3"/>
    <w:rsid w:val="00A91C4F"/>
    <w:rsid w:val="00AA1DC0"/>
    <w:rsid w:val="00AC7218"/>
    <w:rsid w:val="00AD4D0C"/>
    <w:rsid w:val="00AD5FBE"/>
    <w:rsid w:val="00AD7A9F"/>
    <w:rsid w:val="00AF5D25"/>
    <w:rsid w:val="00B3012D"/>
    <w:rsid w:val="00B335EC"/>
    <w:rsid w:val="00B34A88"/>
    <w:rsid w:val="00B63A7C"/>
    <w:rsid w:val="00B75D65"/>
    <w:rsid w:val="00B8111E"/>
    <w:rsid w:val="00B84AD0"/>
    <w:rsid w:val="00B93E37"/>
    <w:rsid w:val="00BB4664"/>
    <w:rsid w:val="00BE3694"/>
    <w:rsid w:val="00BE56CD"/>
    <w:rsid w:val="00BF64DE"/>
    <w:rsid w:val="00BF79B5"/>
    <w:rsid w:val="00C0694B"/>
    <w:rsid w:val="00C16114"/>
    <w:rsid w:val="00C36E0B"/>
    <w:rsid w:val="00C419B7"/>
    <w:rsid w:val="00C41A03"/>
    <w:rsid w:val="00C72044"/>
    <w:rsid w:val="00C76D5D"/>
    <w:rsid w:val="00CB1019"/>
    <w:rsid w:val="00CC5A3D"/>
    <w:rsid w:val="00CE1D87"/>
    <w:rsid w:val="00CF0936"/>
    <w:rsid w:val="00CF6D05"/>
    <w:rsid w:val="00D160AF"/>
    <w:rsid w:val="00D2404D"/>
    <w:rsid w:val="00D848DD"/>
    <w:rsid w:val="00DF2038"/>
    <w:rsid w:val="00DF2B3F"/>
    <w:rsid w:val="00E152AC"/>
    <w:rsid w:val="00E44EB7"/>
    <w:rsid w:val="00E45C20"/>
    <w:rsid w:val="00E46E44"/>
    <w:rsid w:val="00E527C4"/>
    <w:rsid w:val="00E62E5C"/>
    <w:rsid w:val="00E8656C"/>
    <w:rsid w:val="00E8730E"/>
    <w:rsid w:val="00EA1A01"/>
    <w:rsid w:val="00EA77AC"/>
    <w:rsid w:val="00ED00EA"/>
    <w:rsid w:val="00ED4857"/>
    <w:rsid w:val="00EE5847"/>
    <w:rsid w:val="00EF267F"/>
    <w:rsid w:val="00F47494"/>
    <w:rsid w:val="00F80484"/>
    <w:rsid w:val="00FD3270"/>
    <w:rsid w:val="00FE3F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0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C5429"/>
    <w:pPr>
      <w:keepNext/>
      <w:outlineLvl w:val="0"/>
    </w:pPr>
    <w:rPr>
      <w:b/>
      <w:bCs/>
      <w:u w:val="single"/>
    </w:rPr>
  </w:style>
  <w:style w:type="paragraph" w:styleId="Heading3">
    <w:name w:val="heading 3"/>
    <w:basedOn w:val="Normal"/>
    <w:next w:val="Normal"/>
    <w:link w:val="Heading3Char"/>
    <w:uiPriority w:val="99"/>
    <w:qFormat/>
    <w:locked/>
    <w:rsid w:val="005B7F44"/>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locked/>
    <w:rsid w:val="003535D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429"/>
    <w:rPr>
      <w:rFonts w:ascii="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9"/>
    <w:semiHidden/>
    <w:locked/>
    <w:rsid w:val="004F4894"/>
    <w:rPr>
      <w:rFonts w:ascii="Cambria" w:hAnsi="Cambria" w:cs="Times New Roman"/>
      <w:b/>
      <w:bCs/>
      <w:sz w:val="26"/>
      <w:szCs w:val="26"/>
      <w:lang w:val="en-US" w:eastAsia="en-US"/>
    </w:rPr>
  </w:style>
  <w:style w:type="character" w:customStyle="1" w:styleId="Heading8Char">
    <w:name w:val="Heading 8 Char"/>
    <w:basedOn w:val="DefaultParagraphFont"/>
    <w:link w:val="Heading8"/>
    <w:uiPriority w:val="99"/>
    <w:semiHidden/>
    <w:locked/>
    <w:rsid w:val="004F4894"/>
    <w:rPr>
      <w:rFonts w:ascii="Calibri" w:hAnsi="Calibri" w:cs="Times New Roman"/>
      <w:i/>
      <w:iCs/>
      <w:sz w:val="24"/>
      <w:szCs w:val="24"/>
      <w:lang w:val="en-US" w:eastAsia="en-US"/>
    </w:rPr>
  </w:style>
  <w:style w:type="paragraph" w:styleId="NormalWeb">
    <w:name w:val="Normal (Web)"/>
    <w:basedOn w:val="Normal"/>
    <w:uiPriority w:val="99"/>
    <w:rsid w:val="003C5429"/>
    <w:pPr>
      <w:spacing w:before="100" w:beforeAutospacing="1" w:after="100" w:afterAutospacing="1"/>
    </w:pPr>
    <w:rPr>
      <w:rFonts w:ascii="Arial" w:eastAsia="Arial Unicode MS" w:hAnsi="Arial" w:cs="Arial"/>
      <w:sz w:val="18"/>
      <w:szCs w:val="18"/>
    </w:rPr>
  </w:style>
  <w:style w:type="table" w:styleId="TableGrid">
    <w:name w:val="Table Grid"/>
    <w:basedOn w:val="TableNormal"/>
    <w:uiPriority w:val="99"/>
    <w:rsid w:val="00533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79B5"/>
    <w:pPr>
      <w:ind w:left="720"/>
      <w:contextualSpacing/>
    </w:pPr>
  </w:style>
  <w:style w:type="paragraph" w:styleId="BodyText">
    <w:name w:val="Body Text"/>
    <w:basedOn w:val="Normal"/>
    <w:link w:val="BodyTextChar"/>
    <w:uiPriority w:val="99"/>
    <w:rsid w:val="00362073"/>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Home" w:hAnsi="Home"/>
      <w:szCs w:val="20"/>
    </w:rPr>
  </w:style>
  <w:style w:type="character" w:customStyle="1" w:styleId="BodyTextChar">
    <w:name w:val="Body Text Char"/>
    <w:basedOn w:val="DefaultParagraphFont"/>
    <w:link w:val="BodyText"/>
    <w:uiPriority w:val="99"/>
    <w:locked/>
    <w:rsid w:val="00362073"/>
    <w:rPr>
      <w:rFonts w:ascii="Home" w:hAnsi="Home" w:cs="Times New Roman"/>
      <w:snapToGrid w:val="0"/>
      <w:sz w:val="20"/>
      <w:szCs w:val="20"/>
      <w:lang w:val="en-US"/>
    </w:rPr>
  </w:style>
  <w:style w:type="paragraph" w:styleId="Footer">
    <w:name w:val="footer"/>
    <w:basedOn w:val="Normal"/>
    <w:link w:val="FooterChar"/>
    <w:uiPriority w:val="99"/>
    <w:rsid w:val="00362073"/>
    <w:pPr>
      <w:tabs>
        <w:tab w:val="center" w:pos="4320"/>
        <w:tab w:val="right" w:pos="8640"/>
      </w:tabs>
    </w:pPr>
    <w:rPr>
      <w:lang w:val="en-CA"/>
    </w:rPr>
  </w:style>
  <w:style w:type="character" w:customStyle="1" w:styleId="FooterChar">
    <w:name w:val="Footer Char"/>
    <w:basedOn w:val="DefaultParagraphFont"/>
    <w:link w:val="Footer"/>
    <w:uiPriority w:val="99"/>
    <w:locked/>
    <w:rsid w:val="00362073"/>
    <w:rPr>
      <w:rFonts w:ascii="Times New Roman" w:hAnsi="Times New Roman" w:cs="Times New Roman"/>
      <w:sz w:val="24"/>
      <w:szCs w:val="24"/>
    </w:rPr>
  </w:style>
  <w:style w:type="paragraph" w:customStyle="1" w:styleId="Level1">
    <w:name w:val="Level 1"/>
    <w:basedOn w:val="Normal"/>
    <w:uiPriority w:val="99"/>
    <w:rsid w:val="00ED4857"/>
    <w:pPr>
      <w:widowControl w:val="0"/>
      <w:numPr>
        <w:numId w:val="3"/>
      </w:numPr>
      <w:ind w:left="360" w:hanging="360"/>
      <w:outlineLvl w:val="0"/>
    </w:pPr>
    <w:rPr>
      <w:szCs w:val="20"/>
    </w:rPr>
  </w:style>
  <w:style w:type="paragraph" w:styleId="Header">
    <w:name w:val="header"/>
    <w:basedOn w:val="Normal"/>
    <w:link w:val="HeaderChar"/>
    <w:uiPriority w:val="99"/>
    <w:rsid w:val="00ED4857"/>
    <w:pPr>
      <w:tabs>
        <w:tab w:val="center" w:pos="4680"/>
        <w:tab w:val="right" w:pos="9360"/>
      </w:tabs>
    </w:pPr>
  </w:style>
  <w:style w:type="character" w:customStyle="1" w:styleId="HeaderChar">
    <w:name w:val="Header Char"/>
    <w:basedOn w:val="DefaultParagraphFont"/>
    <w:link w:val="Header"/>
    <w:uiPriority w:val="99"/>
    <w:semiHidden/>
    <w:locked/>
    <w:rsid w:val="00ED4857"/>
    <w:rPr>
      <w:rFonts w:ascii="Times New Roman" w:hAnsi="Times New Roman" w:cs="Times New Roman"/>
      <w:sz w:val="24"/>
      <w:szCs w:val="24"/>
      <w:lang w:val="en-US"/>
    </w:rPr>
  </w:style>
  <w:style w:type="character" w:styleId="PageNumber">
    <w:name w:val="page number"/>
    <w:basedOn w:val="DefaultParagraphFont"/>
    <w:uiPriority w:val="99"/>
    <w:rsid w:val="00ED4857"/>
    <w:rPr>
      <w:rFonts w:cs="Times New Roman"/>
    </w:rPr>
  </w:style>
  <w:style w:type="paragraph" w:styleId="BodyTextIndent">
    <w:name w:val="Body Text Indent"/>
    <w:basedOn w:val="Normal"/>
    <w:link w:val="BodyTextIndentChar"/>
    <w:uiPriority w:val="99"/>
    <w:rsid w:val="003535DA"/>
    <w:pPr>
      <w:spacing w:after="120"/>
      <w:ind w:left="283"/>
    </w:pPr>
  </w:style>
  <w:style w:type="character" w:customStyle="1" w:styleId="BodyTextIndentChar">
    <w:name w:val="Body Text Indent Char"/>
    <w:basedOn w:val="DefaultParagraphFont"/>
    <w:link w:val="BodyTextIndent"/>
    <w:uiPriority w:val="99"/>
    <w:semiHidden/>
    <w:locked/>
    <w:rsid w:val="004F4894"/>
    <w:rPr>
      <w:rFonts w:ascii="Times New Roman" w:hAnsi="Times New Roman" w:cs="Times New Roman"/>
      <w:sz w:val="24"/>
      <w:szCs w:val="24"/>
      <w:lang w:val="en-US" w:eastAsia="en-US"/>
    </w:rPr>
  </w:style>
  <w:style w:type="paragraph" w:styleId="BlockText">
    <w:name w:val="Block Text"/>
    <w:basedOn w:val="Normal"/>
    <w:uiPriority w:val="99"/>
    <w:rsid w:val="003535D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right="270"/>
      <w:jc w:val="both"/>
    </w:pPr>
    <w:rPr>
      <w:rFonts w:ascii="Arial" w:eastAsia="Calibri" w:hAnsi="Arial" w:cs="Arial"/>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1320</Words>
  <Characters>7529</Characters>
  <Application>Microsoft Office Word</Application>
  <DocSecurity>0</DocSecurity>
  <Lines>62</Lines>
  <Paragraphs>17</Paragraphs>
  <ScaleCrop>false</ScaleCrop>
  <Company>Microsoft</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Sandra</dc:creator>
  <cp:keywords/>
  <dc:description/>
  <cp:lastModifiedBy> </cp:lastModifiedBy>
  <cp:revision>9</cp:revision>
  <cp:lastPrinted>2011-06-10T18:52:00Z</cp:lastPrinted>
  <dcterms:created xsi:type="dcterms:W3CDTF">2011-12-11T19:19:00Z</dcterms:created>
  <dcterms:modified xsi:type="dcterms:W3CDTF">2012-01-14T21:05:00Z</dcterms:modified>
</cp:coreProperties>
</file>