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2B05E2">
        <w:rPr>
          <w:rFonts w:ascii="Times-Bold" w:hAnsi="Times-Bold" w:cs="Times-Bold"/>
          <w:b/>
          <w:bCs/>
          <w:sz w:val="44"/>
          <w:szCs w:val="44"/>
        </w:rPr>
        <w:t>CASE 5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2B05E2">
        <w:rPr>
          <w:rFonts w:ascii="Times-Bold" w:hAnsi="Times-Bold" w:cs="Times-Bold"/>
          <w:b/>
          <w:bCs/>
          <w:sz w:val="44"/>
          <w:szCs w:val="44"/>
        </w:rPr>
        <w:t>Rex Healthcare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proofErr w:type="gramStart"/>
      <w:r w:rsidRPr="002B05E2">
        <w:rPr>
          <w:rFonts w:ascii="Times-Bold" w:hAnsi="Times-Bold" w:cs="Times-Bold"/>
          <w:b/>
          <w:bCs/>
          <w:sz w:val="44"/>
          <w:szCs w:val="44"/>
        </w:rPr>
        <w:t>and</w:t>
      </w:r>
      <w:proofErr w:type="gramEnd"/>
      <w:r w:rsidRPr="002B05E2">
        <w:rPr>
          <w:rFonts w:ascii="Times-Bold" w:hAnsi="Times-Bold" w:cs="Times-Bold"/>
          <w:b/>
          <w:bCs/>
          <w:sz w:val="44"/>
          <w:szCs w:val="44"/>
        </w:rPr>
        <w:t xml:space="preserve"> Service Line Teams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32"/>
          <w:szCs w:val="32"/>
        </w:rPr>
      </w:pPr>
      <w:r w:rsidRPr="002B05E2">
        <w:rPr>
          <w:rFonts w:ascii="Times-Italic" w:hAnsi="Times-Italic" w:cs="Times-Italic"/>
          <w:i/>
          <w:iCs/>
          <w:sz w:val="32"/>
          <w:szCs w:val="32"/>
        </w:rPr>
        <w:t>Curtis P. McLaughlin and Linda C. Jordan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Rex Healthcare is a private, nonprofit organization founded in 1894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by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Raleigh N.C. tanner, John Rex. It provides a wide range of services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to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research triangle area. The main Rex campus is a 62-acre site in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west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Raleigh convenient to I-40 and I-440. This campus includes the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394-bed Rex Hospital, the 140-bed Rex Convalescent Center, and the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Rex Cancer Center.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Patients utilizing the Rex Heart Center also have access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the Rex Wellness Centers in Raleigh and Cary. Rex Home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Services serves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patients in seven counties through approximately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100,000 home health visits a year. Exhibit 5–1 shows the various centers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and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campuses of Rex Healthcare.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ReXMeD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is a physician-hospital organization (PHO) formed in late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1995. By April 1998,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ReXMeD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had credentialed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45 primary care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physicians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and over 200 specialty physicians, all of whom were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stockholders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together with the hospital in this for-profit limited liability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company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. The Rex primary care network included over 50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boardcertified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primary care physicians, physician assistants, and nurse practitioners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in 12 practices in Raleigh, Cary, Garner, and Wake Forest.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Over 800 total physicians were members of the Rex medical staff. Rex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has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 long history of innovation, having been a North Carolina pioneer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in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 number of radiological techniques, hospital management training,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the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comprehensive cancer center, and employee childcare. The introduction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of clinical care service lines in 1996 was a continuation of that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history of innovation.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Default="0036012E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547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1358B7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5–1 </w:t>
      </w:r>
      <w:r w:rsidRPr="002B05E2">
        <w:rPr>
          <w:rFonts w:ascii="Times-Roman" w:hAnsi="Times-Roman" w:cs="Times-Roman"/>
          <w:sz w:val="32"/>
          <w:szCs w:val="32"/>
        </w:rPr>
        <w:t>Special Centers and Services of Rex Healthcare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 Raleigh: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Hospital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Cancer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Convalescent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Same Day Surgery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Wellness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Family Birth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Emergency Department Fast Track Services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Heart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Breast Care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Primary Care (multiple sites)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ReXMeD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(PHO)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Healthnet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Information and Resource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Senior Health Center (downtown)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Business Health Services (occupational medicine)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RexAware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(employee assistance program)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Emergency Response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Urgent Care Centers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 Cary and Apex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Healthcare of Cary (primary care)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Wellness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Urgent Care Center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Convalescent Care Center (107 beds)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 Garner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Healthcare of Garner-Garner Family Physicians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 Wake Forest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Rex Healthcare of Wake Forest (primary care)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Regionally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Rex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HomeHealth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Services</w:t>
      </w: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36012E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6012E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6012E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36012E" w:rsidRPr="0036012E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36012E">
        <w:rPr>
          <w:rFonts w:ascii="Times-Roman" w:hAnsi="Times-Roman" w:cs="Times-Roman"/>
          <w:b/>
          <w:sz w:val="32"/>
          <w:szCs w:val="32"/>
        </w:rPr>
        <w:lastRenderedPageBreak/>
        <w:t>QUALITY AT REX</w:t>
      </w:r>
    </w:p>
    <w:p w:rsidR="0036012E" w:rsidRPr="002B05E2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Rex Hospital has an excellent reputation for quality. A 1995 consumer</w:t>
      </w:r>
    </w:p>
    <w:p w:rsidR="002B05E2" w:rsidRPr="002B05E2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survey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conducted by</w:t>
      </w:r>
      <w:r>
        <w:rPr>
          <w:rFonts w:ascii="Times-Roman" w:hAnsi="Times-Roman" w:cs="Times-Roman"/>
          <w:sz w:val="32"/>
          <w:szCs w:val="32"/>
        </w:rPr>
        <w:t xml:space="preserve"> the </w:t>
      </w:r>
      <w:proofErr w:type="spellStart"/>
      <w:r>
        <w:rPr>
          <w:rFonts w:ascii="Times-Roman" w:hAnsi="Times-Roman" w:cs="Times-Roman"/>
          <w:sz w:val="32"/>
          <w:szCs w:val="32"/>
        </w:rPr>
        <w:t>Endresen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Research Group of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Seattle,Washington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identified Rex as the preferred hospital in Wake County. It received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National Research Corporation’s 1996 and 1997 Quality Leaders awards.</w:t>
      </w:r>
      <w:r>
        <w:rPr>
          <w:rFonts w:ascii="Times-Roman" w:hAnsi="Times-Roman" w:cs="Times-Roman"/>
          <w:sz w:val="32"/>
          <w:szCs w:val="32"/>
        </w:rPr>
        <w:t xml:space="preserve">  </w:t>
      </w:r>
      <w:r w:rsidR="002B05E2" w:rsidRPr="002B05E2">
        <w:rPr>
          <w:rFonts w:ascii="Times-Roman" w:hAnsi="Times-Roman" w:cs="Times-Roman"/>
          <w:sz w:val="32"/>
          <w:szCs w:val="32"/>
        </w:rPr>
        <w:t>This Lincoln, Nebraska-based research organization conducted surveys of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165,000 households in 100 metropolitan areas nationwide with about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2,500 hospitals. Rex was selected as one of the best 119 nationwide based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on questions about overall preference, quality of care, best physicians and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nurses, best image and reputation, best community health programs, and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 xml:space="preserve">most personalized care. Rex has consistently earned the Gallup </w:t>
      </w:r>
      <w:proofErr w:type="gramStart"/>
      <w:r w:rsidR="002B05E2" w:rsidRPr="002B05E2">
        <w:rPr>
          <w:rFonts w:ascii="Times-Roman" w:hAnsi="Times-Roman" w:cs="Times-Roman"/>
          <w:sz w:val="32"/>
          <w:szCs w:val="32"/>
        </w:rPr>
        <w:t>survey’s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premier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rating in several patient categories as well as “Likelihood to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Recommend and Likelihood to Choose Again,” placing it in the top 20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percent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of Gallup hospitals nationwide. In 1997, Rex was honored by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Italic" w:hAnsi="Times-Italic" w:cs="Times-Italic"/>
          <w:i/>
          <w:iCs/>
          <w:sz w:val="32"/>
          <w:szCs w:val="32"/>
        </w:rPr>
        <w:t xml:space="preserve">Working Woman Magazine </w:t>
      </w:r>
      <w:r w:rsidRPr="002B05E2">
        <w:rPr>
          <w:rFonts w:ascii="Times-Roman" w:hAnsi="Times-Roman" w:cs="Times-Roman"/>
          <w:sz w:val="32"/>
          <w:szCs w:val="32"/>
        </w:rPr>
        <w:t>as one of the “Best 100” workplaces for working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women. It has also earned the North Carolina Governor’s Award for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Excellence for its Workplace Wellness Program.</w:t>
      </w:r>
    </w:p>
    <w:p w:rsidR="0036012E" w:rsidRPr="002B05E2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hospital’s mission–vision statement read as follows: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Rex is a patient-centered healthcare delivery system in working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partnership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with the medical staff. We are a healthcare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leader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, designing innovative and flexible solutions that achieve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superior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patient outcomes and customer satisfaction. Through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the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integration of clinical, financial, and administrative systems,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are cost effective and deliver a continuum of care that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meets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dynamic health needs of our community. We 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committed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to creating a culture that continually improves services,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sustains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 high quality team-oriented work environment,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and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provides for all of our community healthcare for life.</w:t>
      </w:r>
    </w:p>
    <w:p w:rsidR="001358B7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COMPETITION IN THE RESEARCH TRIANGLE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research triangle area has a population of approximately 1.2 million,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about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half of whom live in Wake County. It is generally considered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lastRenderedPageBreak/>
        <w:t>to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be over-doctored with the University of North Carolina and Duke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University medical schools in adjacent Orange and Durham counties.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Wake County and the easterly counties of Johnson, Franklin, and Harnett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have a combined population of three-quarters of a million. The market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population was growing rapidly, was youthful, and had very low unemployment.</w:t>
      </w:r>
      <w:r w:rsidR="0036012E">
        <w:rPr>
          <w:rFonts w:ascii="Times-Roman" w:hAnsi="Times-Roman" w:cs="Times-Roman"/>
          <w:sz w:val="32"/>
          <w:szCs w:val="32"/>
        </w:rPr>
        <w:t xml:space="preserve">  </w:t>
      </w:r>
      <w:r w:rsidRPr="002B05E2">
        <w:rPr>
          <w:rFonts w:ascii="Times-Roman" w:hAnsi="Times-Roman" w:cs="Times-Roman"/>
          <w:sz w:val="32"/>
          <w:szCs w:val="32"/>
        </w:rPr>
        <w:t>There were three substantial hospitals in Wake County—Wake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Medical Center, historical</w:t>
      </w:r>
      <w:r w:rsidR="0036012E">
        <w:rPr>
          <w:rFonts w:ascii="Times-Roman" w:hAnsi="Times-Roman" w:cs="Times-Roman"/>
          <w:sz w:val="32"/>
          <w:szCs w:val="32"/>
        </w:rPr>
        <w:t xml:space="preserve">ly the county hospital; Raleigh </w:t>
      </w:r>
      <w:r w:rsidRPr="002B05E2">
        <w:rPr>
          <w:rFonts w:ascii="Times-Roman" w:hAnsi="Times-Roman" w:cs="Times-Roman"/>
          <w:sz w:val="32"/>
          <w:szCs w:val="32"/>
        </w:rPr>
        <w:t>Community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Hospital, formerly Columbia-owned, but purchased in 1998 by Duke</w:t>
      </w:r>
    </w:p>
    <w:p w:rsidR="001358B7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</w:p>
    <w:p w:rsidR="002B05E2" w:rsidRDefault="002B05E2" w:rsidP="001358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549</w:t>
      </w: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Medical Center; and Rex.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Wake Medical had a slightly higher share of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market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than Rex did, but Rex was dominant in ambulatory surgery,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women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and children’s services and oncology. Rex’s payer mix was good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with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highest percentage of commercial and managed care patients.</w:t>
      </w:r>
    </w:p>
    <w:p w:rsidR="0036012E" w:rsidRPr="002B05E2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Wake County market in 1997 was: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HMO 43%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Commercial–Other 33%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Medicare 8%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Medicaid 5%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Uninsured 10%</w:t>
      </w: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Physician practices were consolidating with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MedPartners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and FPA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Medical Management having practices in the county, with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WakeMed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having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started an medical service organization (MSO) and Rex a physician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hospital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organization (PHO) while both Duke and Carolina were developing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independent practice associations (IPAs) in the area. In 1997, Wake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County hospital discharges per 1,000 dipped below 100 and hospital days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per 1,000 below 500.</w:t>
      </w:r>
    </w:p>
    <w:p w:rsidR="001358B7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36012E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36012E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lastRenderedPageBreak/>
        <w:t>HISTORY OF QUALITY AND PERFORMANCE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IMPROVEMENT EFFORTS AT REX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Exhibit 5–2 provides a chronological list of quality events at Rex. Early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efforts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to implement clinical pathways were not as successful as hoped,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because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software was used for documentation rather than for variance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identification, but were again being encouraged and the overall infrastructure</w:t>
      </w:r>
      <w:r w:rsidR="0036012E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support this effort was being restructured.</w:t>
      </w:r>
    </w:p>
    <w:p w:rsidR="001358B7" w:rsidRPr="002B05E2" w:rsidRDefault="001358B7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Structure for Governance and Implementation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leaders at Rex established a Joint Conference Committee (JCC) to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oversee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performance improvement activities. It included representatives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from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board of trustees, medical staff executive committee, and Rex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Healthcare executive staff.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Its purpose was to direct the selection of organizational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measures for important processes, prioritize and reprioritize</w:t>
      </w:r>
      <w:r w:rsidR="001358B7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these measurement activities, and establish performance objectives for</w:t>
      </w:r>
    </w:p>
    <w:p w:rsidR="001358B7" w:rsidRDefault="002B05E2" w:rsidP="001358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550</w:t>
      </w:r>
    </w:p>
    <w:p w:rsidR="001358B7" w:rsidRDefault="001358B7" w:rsidP="001358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them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. It received regular reports from the Performance Improvement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Committee (PIC) concerning process improvements and outcomes. This</w:t>
      </w:r>
    </w:p>
    <w:p w:rsidR="001358B7" w:rsidRPr="0036012E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organizational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relationship is outlined in Exhibit 5–3.</w:t>
      </w:r>
    </w:p>
    <w:p w:rsidR="002B05E2" w:rsidRDefault="002B05E2" w:rsidP="001358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551</w:t>
      </w:r>
    </w:p>
    <w:p w:rsidR="001358B7" w:rsidRPr="002B05E2" w:rsidRDefault="001358B7" w:rsidP="001358B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5–2 </w:t>
      </w:r>
      <w:r w:rsidRPr="002B05E2">
        <w:rPr>
          <w:rFonts w:ascii="Times-Roman" w:hAnsi="Times-Roman" w:cs="Times-Roman"/>
          <w:sz w:val="32"/>
          <w:szCs w:val="32"/>
        </w:rPr>
        <w:t>Chronological Events at Rex Healthcare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  <w:proofErr w:type="gramStart"/>
      <w:r w:rsidRPr="002B05E2">
        <w:rPr>
          <w:rFonts w:ascii="Times-Italic" w:hAnsi="Times-Italic" w:cs="Times-Italic"/>
          <w:i/>
          <w:iCs/>
          <w:sz w:val="32"/>
          <w:szCs w:val="32"/>
        </w:rPr>
        <w:t xml:space="preserve">Date </w:t>
      </w:r>
      <w:r w:rsidR="0036012E">
        <w:rPr>
          <w:rFonts w:ascii="Times-Italic" w:hAnsi="Times-Italic" w:cs="Times-Italic"/>
          <w:i/>
          <w:iCs/>
          <w:sz w:val="32"/>
          <w:szCs w:val="32"/>
        </w:rPr>
        <w:t xml:space="preserve"> and</w:t>
      </w:r>
      <w:proofErr w:type="gramEnd"/>
      <w:r w:rsidR="0036012E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2B05E2">
        <w:rPr>
          <w:rFonts w:ascii="Times-Italic" w:hAnsi="Times-Italic" w:cs="Times-Italic"/>
          <w:i/>
          <w:iCs/>
          <w:sz w:val="32"/>
          <w:szCs w:val="32"/>
        </w:rPr>
        <w:t>Event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1894 Rex Hospital founded in Raleigh, NC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Before 1995 Installs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Trendstar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cost reporting system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1995 Rex named preferred hospital in Wake County by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Endreson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Research Group survey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Case Management and Performance Improvement–Risk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Management Departments created (October)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ReXMeD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PHO formed (November)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1996 Case Management Services implemented (January)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Master Performance Improvement Plan developed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lastRenderedPageBreak/>
        <w:t>(February)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Service Line Teams implemented (March)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Performance Improvement Committee replaces Hospital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Quality Assurance Committee (August)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Mediqual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Atlas data collection starts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Starts using Gallup survey of customer satisfaction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Starts using Health Management Council Clinical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Benchmark cost data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HCIA hospital discharge benchmarking data set introduced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Named as one of “Best 100” workplaces for working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women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by Working Mother’s Magazine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1997 Arthur Andersen report suggests organizational structure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for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performance improvement with matrix of functional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teams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and service line teams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Received National Research Corp.’s Quality Leader Award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Earned State of North Carolina Governor’s Award for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Excellence for its Workplace Wellness Program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MedPartners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acquires Cardinal and Piedmont IPA bringing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its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Raleigh membership to about 500 physicians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1998 Duke University Medical Center announces purchase of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Raleigh Community Hospital from Columbia–HCA</w:t>
      </w:r>
    </w:p>
    <w:p w:rsidR="0036012E" w:rsidRPr="002B05E2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36012E" w:rsidRPr="002B05E2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Performance Improvement Committee was an interdisciplinary</w:t>
      </w:r>
    </w:p>
    <w:p w:rsidR="0036012E" w:rsidRPr="002B05E2" w:rsidRDefault="0036012E" w:rsidP="003601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medical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review committee reporting to both the medical staff executive</w:t>
      </w:r>
    </w:p>
    <w:p w:rsidR="002B05E2" w:rsidRDefault="0036012E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committee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and the JCC. Its functions were to oversee organizational compliance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 xml:space="preserve">with the performance improvement </w:t>
      </w:r>
      <w:r>
        <w:rPr>
          <w:rFonts w:ascii="Times-Roman" w:hAnsi="Times-Roman" w:cs="Times-Roman"/>
          <w:sz w:val="32"/>
          <w:szCs w:val="32"/>
        </w:rPr>
        <w:t xml:space="preserve">plan adopted by the leadership; </w:t>
      </w:r>
      <w:r w:rsidR="002B05E2" w:rsidRPr="002B05E2">
        <w:rPr>
          <w:rFonts w:ascii="Times-Roman" w:hAnsi="Times-Roman" w:cs="Times-Roman"/>
          <w:sz w:val="32"/>
          <w:szCs w:val="32"/>
        </w:rPr>
        <w:t>identify and recommend priorities and priority changes to the JCC; receive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and review regular reports from all of the service line teams, committees,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and departments; identify opportunities to improve performance;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and recommend and establish “action teams” where indicated. Priorities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were based on their potential to enhance patient care, achieve corporate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goals, improve the financial strength of the organization, and/or improve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quality of work life for employees and physicians.</w:t>
      </w:r>
    </w:p>
    <w:p w:rsidR="00C64786" w:rsidRPr="002B05E2" w:rsidRDefault="00C64786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lastRenderedPageBreak/>
        <w:t>Introduction of Service Lines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Service lines grouped inpatients according to similar diagnosis-related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groups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(DRGs) so that the care team could better meet the patients’ needs.</w:t>
      </w:r>
    </w:p>
    <w:p w:rsidR="00C64786" w:rsidRPr="002B05E2" w:rsidRDefault="00C64786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Ten services lines were developed. They were: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1. Oncology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2. Neuroscience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3. Orthopedics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4. Cardiovascular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5. Medicine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6. General Surgery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7. Women and Children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8. Pulmonary–Nephrology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9. Emergency Services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10. Primary Care Division</w:t>
      </w:r>
    </w:p>
    <w:p w:rsidR="00C64786" w:rsidRPr="002B05E2" w:rsidRDefault="00C64786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Default="00C64786" w:rsidP="00C647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552</w:t>
      </w:r>
    </w:p>
    <w:p w:rsidR="00C64786" w:rsidRPr="002B05E2" w:rsidRDefault="00C64786" w:rsidP="00C6478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5–3 </w:t>
      </w:r>
      <w:r w:rsidRPr="002B05E2">
        <w:rPr>
          <w:rFonts w:ascii="Times-Roman" w:hAnsi="Times-Roman" w:cs="Times-Roman"/>
          <w:sz w:val="32"/>
          <w:szCs w:val="32"/>
        </w:rPr>
        <w:t>Performance Improvement Reporting Structure</w:t>
      </w:r>
    </w:p>
    <w:p w:rsidR="00C64786" w:rsidRDefault="002B05E2" w:rsidP="00C64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2B05E2">
        <w:rPr>
          <w:rFonts w:ascii="Helvetica" w:hAnsi="Helvetica" w:cs="Helvetica"/>
          <w:sz w:val="32"/>
          <w:szCs w:val="32"/>
        </w:rPr>
        <w:t>Board of Trustees</w:t>
      </w:r>
      <w:r w:rsidR="00C64786" w:rsidRPr="00C64786">
        <w:rPr>
          <w:rFonts w:ascii="Helvetica" w:hAnsi="Helvetica" w:cs="Helvetica"/>
          <w:sz w:val="32"/>
          <w:szCs w:val="32"/>
        </w:rPr>
        <w:t xml:space="preserve"> </w:t>
      </w:r>
    </w:p>
    <w:p w:rsidR="00C64786" w:rsidRPr="00C64786" w:rsidRDefault="00C64786" w:rsidP="00C6478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C64786">
        <w:rPr>
          <w:rFonts w:ascii="Helvetica" w:hAnsi="Helvetica" w:cs="Helvetica"/>
          <w:sz w:val="32"/>
          <w:szCs w:val="32"/>
        </w:rPr>
        <w:t>Joint Conference Committee</w:t>
      </w:r>
    </w:p>
    <w:p w:rsidR="00C64786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2B05E2">
        <w:rPr>
          <w:rFonts w:ascii="Helvetica" w:hAnsi="Helvetica" w:cs="Helvetica"/>
          <w:sz w:val="32"/>
          <w:szCs w:val="32"/>
        </w:rPr>
        <w:t>Me</w:t>
      </w:r>
      <w:r w:rsidR="00C64786">
        <w:rPr>
          <w:rFonts w:ascii="Helvetica" w:hAnsi="Helvetica" w:cs="Helvetica"/>
          <w:sz w:val="32"/>
          <w:szCs w:val="32"/>
        </w:rPr>
        <w:t xml:space="preserve">dical Executive Committee      </w:t>
      </w:r>
      <w:r w:rsidRPr="002B05E2">
        <w:rPr>
          <w:rFonts w:ascii="Helvetica" w:hAnsi="Helvetica" w:cs="Helvetica"/>
          <w:sz w:val="32"/>
          <w:szCs w:val="32"/>
        </w:rPr>
        <w:t xml:space="preserve"> Performance Improvement </w:t>
      </w:r>
      <w:r w:rsidR="00C64786">
        <w:rPr>
          <w:rFonts w:ascii="Helvetica" w:hAnsi="Helvetica" w:cs="Helvetica"/>
          <w:sz w:val="32"/>
          <w:szCs w:val="32"/>
        </w:rPr>
        <w:t xml:space="preserve">                  </w:t>
      </w:r>
    </w:p>
    <w:p w:rsidR="00C64786" w:rsidRDefault="00C64786" w:rsidP="002B0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Committee</w:t>
      </w:r>
    </w:p>
    <w:p w:rsidR="00C64786" w:rsidRPr="002B05E2" w:rsidRDefault="00C64786" w:rsidP="00C647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2B05E2">
        <w:rPr>
          <w:rFonts w:ascii="Helvetica" w:hAnsi="Helvetica" w:cs="Helvetica"/>
          <w:sz w:val="32"/>
          <w:szCs w:val="32"/>
        </w:rPr>
        <w:t xml:space="preserve">Medical Staff </w:t>
      </w:r>
      <w:r>
        <w:rPr>
          <w:rFonts w:ascii="Helvetica" w:hAnsi="Helvetica" w:cs="Helvetica"/>
          <w:sz w:val="32"/>
          <w:szCs w:val="32"/>
        </w:rPr>
        <w:t xml:space="preserve">          </w:t>
      </w:r>
      <w:r w:rsidRPr="002B05E2">
        <w:rPr>
          <w:rFonts w:ascii="Helvetica" w:hAnsi="Helvetica" w:cs="Helvetica"/>
          <w:sz w:val="32"/>
          <w:szCs w:val="32"/>
        </w:rPr>
        <w:t>Service Line Teams</w:t>
      </w:r>
      <w:r>
        <w:rPr>
          <w:rFonts w:ascii="Helvetica" w:hAnsi="Helvetica" w:cs="Helvetica"/>
          <w:sz w:val="32"/>
          <w:szCs w:val="32"/>
        </w:rPr>
        <w:t xml:space="preserve">               </w:t>
      </w:r>
      <w:r w:rsidRPr="002B05E2">
        <w:rPr>
          <w:rFonts w:ascii="Helvetica" w:hAnsi="Helvetica" w:cs="Helvetica"/>
          <w:sz w:val="32"/>
          <w:szCs w:val="32"/>
        </w:rPr>
        <w:t xml:space="preserve"> Departments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objective of the service line team was to promote accountability for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the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care of its population across the continuum of care. Representation on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the teams was multidisciplinary and was determined by the particular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needs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of the population served. Each team had a physician team leader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and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 nursing team coordinator. The service line team members assessed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data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on an ongoing basis to identify opportunities for improvement and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promote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achievable patient outcomes and satisfaction. Each team’s charge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also included cost-effective utilization of resources, identification of the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 xml:space="preserve">need for clinical pathways, and minimization of risks where </w:t>
      </w:r>
      <w:r w:rsidRPr="002B05E2">
        <w:rPr>
          <w:rFonts w:ascii="Times-Roman" w:hAnsi="Times-Roman" w:cs="Times-Roman"/>
          <w:sz w:val="32"/>
          <w:szCs w:val="32"/>
        </w:rPr>
        <w:lastRenderedPageBreak/>
        <w:t>feasible. It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compared internal performance over time, compared Rex’s performance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with similar facilities, and compared performance to other sources such as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practice guidelines as appropriate. It initiated intensive assessments by establishing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action teams when variations in performance occurred or when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opportunities to improve were identified.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objective of an action team was to provide intensive assessment,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analysis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, and recommendations for improvement. The expected outputs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were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recommendations, an implementation plan, and a measurement plan.</w:t>
      </w:r>
      <w:r w:rsidR="00C64786">
        <w:rPr>
          <w:rFonts w:ascii="Times-Roman" w:hAnsi="Times-Roman" w:cs="Times-Roman"/>
          <w:sz w:val="32"/>
          <w:szCs w:val="32"/>
        </w:rPr>
        <w:t xml:space="preserve">  </w:t>
      </w:r>
      <w:r w:rsidRPr="002B05E2">
        <w:rPr>
          <w:rFonts w:ascii="Times-Roman" w:hAnsi="Times-Roman" w:cs="Times-Roman"/>
          <w:sz w:val="32"/>
          <w:szCs w:val="32"/>
        </w:rPr>
        <w:t>Rex adopted the FOCUS-PDCA methodology of process improvement. It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was included in the leadership development core training program offered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all employees. Education included the use of performance improvement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tools, analysis of data, and leading and facilitating teams. New employee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orientation included an introductory session on this process improvement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methodology.</w:t>
      </w:r>
    </w:p>
    <w:p w:rsidR="00C64786" w:rsidRPr="002B05E2" w:rsidRDefault="00C64786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1995–1996 Reorganization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reorganization into service line teams highlighted the need to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change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way that the staff services that support quality improvement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were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organized. Rex Hospital had traditional and separate departments of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utilization review—quality assurance, social work, and continuous service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improvement (also responsible for pathway development). Pathway implementation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had not been as successful as hoped except for orthopedics.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prepare for an environment of more risk-based reimbursement and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counter reduced margins, these departments were intensified,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re-engineered, and integrated to have greater impact on clinical and financial</w:t>
      </w:r>
      <w:r w:rsidR="00C64786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outcomes without adversely affecting existing high quality levels.</w:t>
      </w:r>
    </w:p>
    <w:p w:rsidR="0053486D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 October 1995, two new departments were created—case management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and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performance improvement–risk management. Case management</w:t>
      </w:r>
    </w:p>
    <w:p w:rsidR="0053486D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32"/>
          <w:szCs w:val="32"/>
        </w:rPr>
      </w:pPr>
    </w:p>
    <w:p w:rsidR="002B05E2" w:rsidRDefault="002B05E2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553</w:t>
      </w:r>
    </w:p>
    <w:p w:rsidR="0053486D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lastRenderedPageBreak/>
        <w:t>combined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utilization review–quality assurance and social work and added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 pre-entry case management function. Within three months, the new case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management model with concern for clinical, financial, and quality improvement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was implemented in the inpatient setting. Nurse case managers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and medical social workers were assigned to each of the eight inpatient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core specialties and became core members of the service line teams. By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1998, the Case Management Program included the following: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Pre-entry coordination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Screening and referral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Assessment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Problem identification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Care planning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Utilization management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DRG analysis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Variance management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Discharge planning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Psychosocial intervention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Crisis management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At the same time, the performance improvement–risk management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(PI–RM) department was established to support the organization’s quality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assurance, quality improvement, outcomes management, risk management,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and clinical pathway development. It coordinated, analyzed, and reported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improvement data. Wherever possible, measurement activities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were incorporated into processes and performed and reviewed concurrently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by caregivers. The PI–RM department coordinated systems for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 xml:space="preserve">the collection of specific data (Atlas,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RiskKey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>) and worked directly with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other departments to acquire other data (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Trendstar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, Gallup,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National</w:t>
      </w:r>
      <w:proofErr w:type="gramEnd"/>
      <w:r w:rsidR="0053486D">
        <w:rPr>
          <w:rFonts w:ascii="Times-Roman" w:hAnsi="Times-Roman" w:cs="Times-Roman"/>
          <w:sz w:val="32"/>
          <w:szCs w:val="32"/>
        </w:rPr>
        <w:t xml:space="preserve">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Nosocomial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Infection Survey). These data were compiled and initial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analysis performed. Comparison was made to historical experience, reference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databases, accreditation guidelines, and practice guidelines. These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data and analyses were then presented to service line teams, departments,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 xml:space="preserve">and committees on a routine basis. </w:t>
      </w:r>
      <w:r w:rsidRPr="002B05E2">
        <w:rPr>
          <w:rFonts w:ascii="Times-Roman" w:hAnsi="Times-Roman" w:cs="Times-Roman"/>
          <w:sz w:val="32"/>
          <w:szCs w:val="32"/>
        </w:rPr>
        <w:lastRenderedPageBreak/>
        <w:t>Exhibit 5–4 lists the measures regularly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collected or acquired. Quality control issues were reported to the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Performance Improvement Committee on a “report-by-exception” basis.</w:t>
      </w:r>
      <w:r w:rsidR="0053486D">
        <w:rPr>
          <w:rFonts w:ascii="Times-Roman" w:hAnsi="Times-Roman" w:cs="Times-Roman"/>
          <w:sz w:val="32"/>
          <w:szCs w:val="32"/>
        </w:rPr>
        <w:t xml:space="preserve">  </w:t>
      </w:r>
      <w:r w:rsidRPr="002B05E2">
        <w:rPr>
          <w:rFonts w:ascii="Times-Roman" w:hAnsi="Times-Roman" w:cs="Times-Roman"/>
          <w:sz w:val="32"/>
          <w:szCs w:val="32"/>
        </w:rPr>
        <w:t>Regular Performance Improvement Service Line Reports were issued as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well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. An example is shown in Exhibit 5–5.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Default="002B05E2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555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5–4 </w:t>
      </w:r>
      <w:r w:rsidRPr="002B05E2">
        <w:rPr>
          <w:rFonts w:ascii="Times-Roman" w:hAnsi="Times-Roman" w:cs="Times-Roman"/>
          <w:sz w:val="32"/>
          <w:szCs w:val="32"/>
        </w:rPr>
        <w:t>Reporting Systems Used for Performance Improvement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Atlas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Variance Reports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Clinical Path Variance Reports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Infection Control Surveillance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Comments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Improvement Initiatives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JCAHO Indicator Monitors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Gallup Satisfaction Results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Department Specific Monitoring Reports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MMI Clinical Indicators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HCIA comparative hospital discharge summary data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spellStart"/>
      <w:r w:rsidRPr="002B05E2">
        <w:rPr>
          <w:rFonts w:ascii="Times-Roman" w:hAnsi="Times-Roman" w:cs="Times-Roman"/>
          <w:sz w:val="32"/>
          <w:szCs w:val="32"/>
        </w:rPr>
        <w:t>Trendstar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 internal cost reports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Sentinel Events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Quality Control in the Organization– </w:t>
      </w:r>
      <w:r w:rsidRPr="002B05E2">
        <w:rPr>
          <w:rFonts w:ascii="MathematicalPi-One" w:hAnsi="MathematicalPi-One" w:cs="MathematicalPi-One"/>
          <w:sz w:val="32"/>
          <w:szCs w:val="32"/>
        </w:rPr>
        <w:t xml:space="preserve">_ </w:t>
      </w:r>
      <w:r w:rsidRPr="002B05E2">
        <w:rPr>
          <w:rFonts w:ascii="Times-Roman" w:hAnsi="Times-Roman" w:cs="Times-Roman"/>
          <w:sz w:val="32"/>
          <w:szCs w:val="32"/>
        </w:rPr>
        <w:t>or</w:t>
      </w:r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Times-Roman" w:hAnsi="Times-Roman" w:cs="Times-Roman"/>
          <w:sz w:val="32"/>
          <w:szCs w:val="32"/>
        </w:rPr>
        <w:t>30 cases up to 5% sample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quarterly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preoperative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and postoperative diagnosis discrepancies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adverse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drug reactions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confirmed transfusion reactions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adverse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anesthesia events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appropriateness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of admissions and hospital stays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patient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satisfaction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staff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views regarding performance and improvement operations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autopsy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results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restraints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• risk management activities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quality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control activities for clinical labs, diagnostic radiology, dietetic,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lastRenderedPageBreak/>
        <w:t>nuclear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medicine, radiation oncology, medication administration equipment,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pharmacy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equipment used to prepare medications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Additional measures identified and prioritized by Joint Conference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Committee: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patient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care functions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organization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functions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•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high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risk, high volume, high cost, problem-prone procedures–processes.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The key coordination mechanism for performance improvement continued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to be the PIC. It fulfilled a wide variety of roles and its agenda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became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extensive and complex. For example, the calendar for the</w:t>
      </w:r>
    </w:p>
    <w:p w:rsidR="002B05E2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September 1998 meeting called for third quarter Gallup results, the quarterly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Infection Control report, review of qua</w:t>
      </w:r>
      <w:r>
        <w:rPr>
          <w:rFonts w:ascii="Times-Roman" w:hAnsi="Times-Roman" w:cs="Times-Roman"/>
          <w:sz w:val="32"/>
          <w:szCs w:val="32"/>
        </w:rPr>
        <w:t xml:space="preserve">rterly HCIA data, and quarterly </w:t>
      </w:r>
      <w:r w:rsidR="002B05E2" w:rsidRPr="002B05E2">
        <w:rPr>
          <w:rFonts w:ascii="Times-Roman" w:hAnsi="Times-Roman" w:cs="Times-Roman"/>
          <w:sz w:val="32"/>
          <w:szCs w:val="32"/>
        </w:rPr>
        <w:t>informational presentations from the cardiovascular, medical, and surgical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service line teams and from the Rex Convalescent Center team. In addition,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it included a quarterly report on risk management issues, medical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staff review of clinical pathway team recommendations, and review of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other procedural changes. Also, it would consider additional items that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might come up such as sentinel event reports, adverse drug reaction re-</w:t>
      </w:r>
    </w:p>
    <w:p w:rsidR="0053486D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556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5–5 </w:t>
      </w:r>
      <w:r w:rsidRPr="002B05E2">
        <w:rPr>
          <w:rFonts w:ascii="Times-Roman" w:hAnsi="Times-Roman" w:cs="Times-Roman"/>
          <w:sz w:val="32"/>
          <w:szCs w:val="32"/>
        </w:rPr>
        <w:t>Example of Service Line Report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PERFORMANCE IMPROVEMENT SERVICE LINE REPORT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WOMEN AND CHILDREN DATE _______________________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Bold" w:hAnsi="HelveticaNeue-Bold" w:cs="HelveticaNeue-Bold"/>
          <w:b/>
          <w:bCs/>
          <w:sz w:val="32"/>
          <w:szCs w:val="32"/>
        </w:rPr>
        <w:t xml:space="preserve">GLOBAL INDICATORS BENCHMARK </w:t>
      </w:r>
      <w:r w:rsidRPr="002B05E2">
        <w:rPr>
          <w:rFonts w:ascii="HelveticaNeue-Roman" w:hAnsi="HelveticaNeue-Roman" w:cs="HelveticaNeue-Roman"/>
          <w:sz w:val="32"/>
          <w:szCs w:val="32"/>
        </w:rPr>
        <w:t>Q1 Q2 Q3 Q4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1. C/S ** 20%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2. APGAR &lt;4 @ 5</w:t>
      </w:r>
      <w:r w:rsidRPr="002B05E2">
        <w:rPr>
          <w:rFonts w:ascii="MathematicalPi-One" w:hAnsi="MathematicalPi-One" w:cs="MathematicalPi-One"/>
          <w:sz w:val="32"/>
          <w:szCs w:val="32"/>
        </w:rPr>
        <w:t xml:space="preserve">_ </w:t>
      </w:r>
      <w:r w:rsidRPr="002B05E2">
        <w:rPr>
          <w:rFonts w:ascii="HelveticaNeue-Roman" w:hAnsi="HelveticaNeue-Roman" w:cs="HelveticaNeue-Roman"/>
          <w:sz w:val="32"/>
          <w:szCs w:val="32"/>
        </w:rPr>
        <w:t>** 18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 xml:space="preserve">3.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Meconium</w:t>
      </w:r>
      <w:proofErr w:type="spellEnd"/>
      <w:r w:rsidRPr="002B05E2">
        <w:rPr>
          <w:rFonts w:ascii="HelveticaNeue-Roman" w:hAnsi="HelveticaNeue-Roman" w:cs="HelveticaNeue-Roman"/>
          <w:sz w:val="32"/>
          <w:szCs w:val="32"/>
        </w:rPr>
        <w:t xml:space="preserve"> aspiration ** 13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4. NB w/ cerebral hemorrhage ** 1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5. Pts</w:t>
      </w:r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HelveticaNeue-Roman" w:hAnsi="HelveticaNeue-Roman" w:cs="HelveticaNeue-Roman"/>
          <w:sz w:val="32"/>
          <w:szCs w:val="32"/>
        </w:rPr>
        <w:t xml:space="preserve">24 wks. </w:t>
      </w: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gestation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who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lastRenderedPageBreak/>
        <w:t>do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not receive baseline monitoring ** 5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6. Use of Pit w/o fetal monitoring ** 11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 xml:space="preserve">7. C/S for fetal </w:t>
      </w:r>
      <w:proofErr w:type="spellStart"/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ind</w:t>
      </w:r>
      <w:proofErr w:type="spellEnd"/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not started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w/in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30</w:t>
      </w:r>
      <w:r w:rsidRPr="002B05E2">
        <w:rPr>
          <w:rFonts w:ascii="MathematicalPi-One" w:hAnsi="MathematicalPi-One" w:cs="MathematicalPi-One"/>
          <w:sz w:val="32"/>
          <w:szCs w:val="32"/>
        </w:rPr>
        <w:t xml:space="preserve">_ </w:t>
      </w:r>
      <w:r w:rsidRPr="002B05E2">
        <w:rPr>
          <w:rFonts w:ascii="HelveticaNeue-Roman" w:hAnsi="HelveticaNeue-Roman" w:cs="HelveticaNeue-Roman"/>
          <w:sz w:val="32"/>
          <w:szCs w:val="32"/>
        </w:rPr>
        <w:t>** 8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8. Neonates delivered in a Level I or II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facility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@</w:t>
      </w:r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HelveticaNeue-Roman" w:hAnsi="HelveticaNeue-Roman" w:cs="HelveticaNeue-Roman"/>
          <w:sz w:val="32"/>
          <w:szCs w:val="32"/>
        </w:rPr>
        <w:t>34 wks. &amp; tr. to NICU ** 29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 xml:space="preserve">9. Neonates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deliv</w:t>
      </w:r>
      <w:proofErr w:type="spellEnd"/>
      <w:r w:rsidRPr="002B05E2">
        <w:rPr>
          <w:rFonts w:ascii="HelveticaNeue-Roman" w:hAnsi="HelveticaNeue-Roman" w:cs="HelveticaNeue-Roman"/>
          <w:sz w:val="32"/>
          <w:szCs w:val="32"/>
        </w:rPr>
        <w:t>. &gt;34 wks</w:t>
      </w: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.&amp;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tr</w:t>
      </w:r>
      <w:proofErr w:type="spell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to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NICU ** 130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10. Maternal deaths ** 0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11. Neonatal deaths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MathematicalPi-One" w:hAnsi="MathematicalPi-One" w:cs="MathematicalPi-One"/>
          <w:sz w:val="32"/>
          <w:szCs w:val="32"/>
        </w:rPr>
        <w:t xml:space="preserve">_ </w:t>
      </w:r>
      <w:r w:rsidRPr="002B05E2">
        <w:rPr>
          <w:rFonts w:ascii="HelveticaNeue-Roman" w:hAnsi="HelveticaNeue-Roman" w:cs="HelveticaNeue-Roman"/>
          <w:sz w:val="32"/>
          <w:szCs w:val="32"/>
        </w:rPr>
        <w:t>34 wks.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HelveticaNeue-Roman" w:hAnsi="HelveticaNeue-Roman" w:cs="HelveticaNeue-Roman"/>
          <w:sz w:val="32"/>
          <w:szCs w:val="32"/>
        </w:rPr>
        <w:t>34 wks.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&amp; </w:t>
      </w:r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HelveticaNeue-Roman" w:hAnsi="HelveticaNeue-Roman" w:cs="HelveticaNeue-Roman"/>
          <w:sz w:val="32"/>
          <w:szCs w:val="32"/>
        </w:rPr>
        <w:t>/</w:t>
      </w:r>
      <w:r w:rsidRPr="002B05E2">
        <w:rPr>
          <w:rFonts w:ascii="MathematicalPi-One" w:hAnsi="MathematicalPi-One" w:cs="MathematicalPi-One"/>
          <w:sz w:val="32"/>
          <w:szCs w:val="32"/>
        </w:rPr>
        <w:t>_</w:t>
      </w:r>
      <w:r w:rsidRPr="002B05E2">
        <w:rPr>
          <w:rFonts w:ascii="HelveticaNeue-Roman" w:hAnsi="HelveticaNeue-Roman" w:cs="HelveticaNeue-Roman"/>
          <w:sz w:val="32"/>
          <w:szCs w:val="32"/>
        </w:rPr>
        <w:t xml:space="preserve">500 </w:t>
      </w:r>
      <w:proofErr w:type="spellStart"/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gms</w:t>
      </w:r>
      <w:proofErr w:type="spellEnd"/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>. ** 10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12. Neonatal temp &lt;35 C in first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4 hours of life ** 5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 xml:space="preserve">13.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Pneumothorax</w:t>
      </w:r>
      <w:proofErr w:type="spellEnd"/>
      <w:r w:rsidRPr="002B05E2">
        <w:rPr>
          <w:rFonts w:ascii="HelveticaNeue-Roman" w:hAnsi="HelveticaNeue-Roman" w:cs="HelveticaNeue-Roman"/>
          <w:sz w:val="32"/>
          <w:szCs w:val="32"/>
        </w:rPr>
        <w:t xml:space="preserve"> after neonatal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resuscitation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using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ppv</w:t>
      </w:r>
      <w:proofErr w:type="spellEnd"/>
      <w:r w:rsidRPr="002B05E2">
        <w:rPr>
          <w:rFonts w:ascii="HelveticaNeue-Roman" w:hAnsi="HelveticaNeue-Roman" w:cs="HelveticaNeue-Roman"/>
          <w:sz w:val="32"/>
          <w:szCs w:val="32"/>
        </w:rPr>
        <w:t xml:space="preserve"> ** 1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14. Neonates w/intubation prior to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use</w:t>
      </w:r>
      <w:proofErr w:type="gramEnd"/>
      <w:r w:rsidRPr="002B05E2">
        <w:rPr>
          <w:rFonts w:ascii="HelveticaNeue-Roman" w:hAnsi="HelveticaNeue-Roman" w:cs="HelveticaNeue-Roman"/>
          <w:sz w:val="32"/>
          <w:szCs w:val="32"/>
        </w:rPr>
        <w:t xml:space="preserve"> of </w:t>
      </w:r>
      <w:proofErr w:type="spellStart"/>
      <w:r w:rsidRPr="002B05E2">
        <w:rPr>
          <w:rFonts w:ascii="HelveticaNeue-Roman" w:hAnsi="HelveticaNeue-Roman" w:cs="HelveticaNeue-Roman"/>
          <w:sz w:val="32"/>
          <w:szCs w:val="32"/>
        </w:rPr>
        <w:t>ppv</w:t>
      </w:r>
      <w:proofErr w:type="spellEnd"/>
      <w:r w:rsidRPr="002B05E2">
        <w:rPr>
          <w:rFonts w:ascii="HelveticaNeue-Roman" w:hAnsi="HelveticaNeue-Roman" w:cs="HelveticaNeue-Roman"/>
          <w:sz w:val="32"/>
          <w:szCs w:val="32"/>
        </w:rPr>
        <w:t xml:space="preserve"> ** 42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** Based on MMI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32"/>
          <w:szCs w:val="32"/>
        </w:rPr>
      </w:pPr>
      <w:r w:rsidRPr="002B05E2">
        <w:rPr>
          <w:rFonts w:ascii="HelveticaNeue-Bold" w:hAnsi="HelveticaNeue-Bold" w:cs="HelveticaNeue-Bold"/>
          <w:b/>
          <w:bCs/>
          <w:sz w:val="32"/>
          <w:szCs w:val="32"/>
        </w:rPr>
        <w:t>Gallup Survey Results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Service Line Overall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proofErr w:type="gramStart"/>
      <w:r w:rsidRPr="002B05E2">
        <w:rPr>
          <w:rFonts w:ascii="HelveticaNeue-Roman" w:hAnsi="HelveticaNeue-Roman" w:cs="HelveticaNeue-Roman"/>
          <w:sz w:val="32"/>
          <w:szCs w:val="32"/>
        </w:rPr>
        <w:t>Rex Overall 3.59 3.56 3.55 N.A.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32"/>
          <w:szCs w:val="32"/>
        </w:rPr>
      </w:pPr>
      <w:r w:rsidRPr="002B05E2">
        <w:rPr>
          <w:rFonts w:ascii="HelveticaNeue-Bold" w:hAnsi="HelveticaNeue-Bold" w:cs="HelveticaNeue-Bold"/>
          <w:b/>
          <w:bCs/>
          <w:sz w:val="32"/>
          <w:szCs w:val="32"/>
        </w:rPr>
        <w:t>Resource Management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Cost per Case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32"/>
          <w:szCs w:val="32"/>
        </w:rPr>
      </w:pPr>
      <w:r w:rsidRPr="002B05E2">
        <w:rPr>
          <w:rFonts w:ascii="HelveticaNeue-Roman" w:hAnsi="HelveticaNeue-Roman" w:cs="HelveticaNeue-Roman"/>
          <w:sz w:val="32"/>
          <w:szCs w:val="32"/>
        </w:rPr>
        <w:t>Cost Index</w:t>
      </w:r>
    </w:p>
    <w:p w:rsidR="0053486D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32"/>
          <w:szCs w:val="32"/>
        </w:rPr>
      </w:pPr>
    </w:p>
    <w:p w:rsidR="002B05E2" w:rsidRDefault="002B05E2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557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ports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, and accreditation concerns. At other meetings, the PIC reviewed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plans and performance of t</w:t>
      </w:r>
      <w:r w:rsidR="0053486D">
        <w:rPr>
          <w:rFonts w:ascii="Times-Roman" w:hAnsi="Times-Roman" w:cs="Times-Roman"/>
          <w:sz w:val="32"/>
          <w:szCs w:val="32"/>
        </w:rPr>
        <w:t xml:space="preserve">he performance improvement–risk </w:t>
      </w:r>
      <w:r w:rsidRPr="002B05E2">
        <w:rPr>
          <w:rFonts w:ascii="Times-Roman" w:hAnsi="Times-Roman" w:cs="Times-Roman"/>
          <w:sz w:val="32"/>
          <w:szCs w:val="32"/>
        </w:rPr>
        <w:t>management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department and reports required by the hospital’s liability insurance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carrier; analyzed safety issues, pathway utilization, and variance reports;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reviewed proposals for new action teams; approved forms for reporting;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 xml:space="preserve">and reviewed Atlas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Mediqual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 xml:space="preserve">,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Trendstar</w:t>
      </w:r>
      <w:proofErr w:type="spellEnd"/>
      <w:r w:rsidRPr="002B05E2">
        <w:rPr>
          <w:rFonts w:ascii="Times-Roman" w:hAnsi="Times-Roman" w:cs="Times-Roman"/>
          <w:sz w:val="32"/>
          <w:szCs w:val="32"/>
        </w:rPr>
        <w:t>, and other benchmarking systems.</w:t>
      </w:r>
      <w:r w:rsidR="0053486D">
        <w:rPr>
          <w:rFonts w:ascii="Times-Roman" w:hAnsi="Times-Roman" w:cs="Times-Roman"/>
          <w:sz w:val="32"/>
          <w:szCs w:val="32"/>
        </w:rPr>
        <w:t xml:space="preserve">  </w:t>
      </w:r>
      <w:r w:rsidRPr="002B05E2">
        <w:rPr>
          <w:rFonts w:ascii="Times-Roman" w:hAnsi="Times-Roman" w:cs="Times-Roman"/>
          <w:sz w:val="32"/>
          <w:szCs w:val="32"/>
        </w:rPr>
        <w:t xml:space="preserve">Exhibit 5–6 shows the schedule of reviews </w:t>
      </w:r>
      <w:r w:rsidRPr="002B05E2">
        <w:rPr>
          <w:rFonts w:ascii="Times-Roman" w:hAnsi="Times-Roman" w:cs="Times-Roman"/>
          <w:sz w:val="32"/>
          <w:szCs w:val="32"/>
        </w:rPr>
        <w:lastRenderedPageBreak/>
        <w:t>planned for each of the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monthly PIC meetings during the fourth quarter of 1998.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 xml:space="preserve">Exhibit 5–6 </w:t>
      </w:r>
      <w:r w:rsidRPr="002B05E2">
        <w:rPr>
          <w:rFonts w:ascii="Times-Roman" w:hAnsi="Times-Roman" w:cs="Times-Roman"/>
          <w:sz w:val="32"/>
          <w:szCs w:val="32"/>
        </w:rPr>
        <w:t>Quarterly Schedule of PIC Presentations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October 1998 November 1998 December 1998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Safety Procedure Review Gallup customer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satisfaction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survey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Pharmacy &amp; Therapeutics Pulmonary Service Infection Control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Committee Line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Risk Management Orthopedics Service Cardiovascular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Line Team Service Line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Oncology Service Women and Children’s Medicine Service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Line Team Service Line Team Line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Neuroscience Service Nursing Performance Surgery Service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Line Team Improvement Team Line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Rex Home Services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Emergency Department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Service Line Team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Blood Utilization Committee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Cancer Committee</w:t>
      </w:r>
    </w:p>
    <w:p w:rsidR="0053486D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Future Plans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By mid-1998, the assessment of the services showed that service line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team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leadership was in place with adequate staff support and functioning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with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clear targets. The next step was to begin to involve the service line</w:t>
      </w:r>
    </w:p>
    <w:p w:rsidR="0053486D" w:rsidRPr="002B05E2" w:rsidRDefault="0053486D" w:rsidP="005348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teams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(SLTs) in the 1999 budget process to allow service line savings to</w:t>
      </w:r>
    </w:p>
    <w:p w:rsid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track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back to the bottom line. In 1999, the hospital would try to develop an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affordable team reward system that cou</w:t>
      </w:r>
      <w:r>
        <w:rPr>
          <w:rFonts w:ascii="Times-Roman" w:hAnsi="Times-Roman" w:cs="Times-Roman"/>
          <w:sz w:val="32"/>
          <w:szCs w:val="32"/>
        </w:rPr>
        <w:t xml:space="preserve">ld be implemented in 2000. This </w:t>
      </w:r>
      <w:r w:rsidR="002B05E2" w:rsidRPr="002B05E2">
        <w:rPr>
          <w:rFonts w:ascii="Times-Roman" w:hAnsi="Times-Roman" w:cs="Times-Roman"/>
          <w:sz w:val="32"/>
          <w:szCs w:val="32"/>
        </w:rPr>
        <w:t>would have to be coordinated with the development of job description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changes reflecting the new organizational structure and supported through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a new communication plan to explain the changes to all the Rex community.</w:t>
      </w:r>
      <w:r>
        <w:rPr>
          <w:rFonts w:ascii="Times-Roman" w:hAnsi="Times-Roman" w:cs="Times-Roman"/>
          <w:sz w:val="32"/>
          <w:szCs w:val="32"/>
        </w:rPr>
        <w:t xml:space="preserve">  </w:t>
      </w:r>
      <w:r w:rsidR="002B05E2" w:rsidRPr="002B05E2">
        <w:rPr>
          <w:rFonts w:ascii="Times-Roman" w:hAnsi="Times-Roman" w:cs="Times-Roman"/>
          <w:sz w:val="32"/>
          <w:szCs w:val="32"/>
        </w:rPr>
        <w:t>Beyond that, the leadership saw the need to increase medical staff involvement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in SLTs and action teams, to move the program beyond acute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 xml:space="preserve">care, and balance the focus on outcomes, </w:t>
      </w:r>
      <w:r w:rsidR="002B05E2" w:rsidRPr="002B05E2">
        <w:rPr>
          <w:rFonts w:ascii="Times-Roman" w:hAnsi="Times-Roman" w:cs="Times-Roman"/>
          <w:sz w:val="32"/>
          <w:szCs w:val="32"/>
        </w:rPr>
        <w:lastRenderedPageBreak/>
        <w:t>satisfaction, and cost effectiveness.</w:t>
      </w:r>
      <w:r>
        <w:rPr>
          <w:rFonts w:ascii="Times-Roman" w:hAnsi="Times-Roman" w:cs="Times-Roman"/>
          <w:sz w:val="32"/>
          <w:szCs w:val="32"/>
        </w:rPr>
        <w:t xml:space="preserve">  </w:t>
      </w:r>
      <w:r w:rsidR="002B05E2" w:rsidRPr="002B05E2">
        <w:rPr>
          <w:rFonts w:ascii="Times-Roman" w:hAnsi="Times-Roman" w:cs="Times-Roman"/>
          <w:sz w:val="32"/>
          <w:szCs w:val="32"/>
        </w:rPr>
        <w:t>They also saw needs to develop mechanisms and/or incentives for following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protocols, to streamline the approval process of SLT actions, and to</w:t>
      </w:r>
      <w:r>
        <w:rPr>
          <w:rFonts w:ascii="Times-Roman" w:hAnsi="Times-Roman" w:cs="Times-Roman"/>
          <w:sz w:val="32"/>
          <w:szCs w:val="32"/>
        </w:rPr>
        <w:t xml:space="preserve"> </w:t>
      </w:r>
      <w:r w:rsidR="002B05E2" w:rsidRPr="002B05E2">
        <w:rPr>
          <w:rFonts w:ascii="Times-Roman" w:hAnsi="Times-Roman" w:cs="Times-Roman"/>
          <w:sz w:val="32"/>
          <w:szCs w:val="32"/>
        </w:rPr>
        <w:t>streamline and clarify data sources and processes for decision-making.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CASE ANALYSIS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This case illustrates the organizational complexities introduced by the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need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for outcomes measurement as well as process enhancement. This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hospital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was much further along than most at this point in time, but it still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had a number of issues to deal with in the future, such as the roles of administration,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of the performance and measurement committee, and of the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medical staff in this transition period and in the long run.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ASSIGNMENT QUESTIONS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Introduction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1. Evaluate the mission statement of Rex Hospital.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2. How does the competitive environment of the Triangle influence the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situation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here?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Basics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3. How has the historical development of quality systems at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Rex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Hospital affected the evolution of its quality improvement effort?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558 CONTINUOUS QUALITY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IMPROVEMENT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IN HEALTH CARE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4. Evaluate the performance improvement reporting structure as outlined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in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Exhibit 5–3.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5. Evaluate the makeup of the service line team and explain its impact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on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the quality improvement effort.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Implementation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6. What do you think of the 1995–1996 reorganization creating the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two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new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departments: case management and performance </w:t>
      </w:r>
      <w:proofErr w:type="spellStart"/>
      <w:r w:rsidRPr="002B05E2">
        <w:rPr>
          <w:rFonts w:ascii="Times-Roman" w:hAnsi="Times-Roman" w:cs="Times-Roman"/>
          <w:sz w:val="32"/>
          <w:szCs w:val="32"/>
        </w:rPr>
        <w:t>improvementrisk</w:t>
      </w:r>
      <w:proofErr w:type="spell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management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>?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 xml:space="preserve">7. What recommendations do you have about the reporting </w:t>
      </w:r>
      <w:proofErr w:type="gramStart"/>
      <w:r w:rsidRPr="002B05E2">
        <w:rPr>
          <w:rFonts w:ascii="Times-Roman" w:hAnsi="Times-Roman" w:cs="Times-Roman"/>
          <w:sz w:val="32"/>
          <w:szCs w:val="32"/>
        </w:rPr>
        <w:t>systems</w:t>
      </w:r>
      <w:proofErr w:type="gramEnd"/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used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for performance improvement (Exhibits 5–3 and 5–4)?</w:t>
      </w:r>
    </w:p>
    <w:p w:rsid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lastRenderedPageBreak/>
        <w:t>8. What further recommendations do you have to the individuals responsible</w:t>
      </w:r>
      <w:r w:rsidR="0053486D">
        <w:rPr>
          <w:rFonts w:ascii="Times-Roman" w:hAnsi="Times-Roman" w:cs="Times-Roman"/>
          <w:sz w:val="32"/>
          <w:szCs w:val="32"/>
        </w:rPr>
        <w:t xml:space="preserve"> </w:t>
      </w:r>
      <w:r w:rsidRPr="002B05E2">
        <w:rPr>
          <w:rFonts w:ascii="Times-Roman" w:hAnsi="Times-Roman" w:cs="Times-Roman"/>
          <w:sz w:val="32"/>
          <w:szCs w:val="32"/>
        </w:rPr>
        <w:t>for clinical quality improvement at Rex Hospital?</w:t>
      </w:r>
    </w:p>
    <w:p w:rsidR="0053486D" w:rsidRPr="002B05E2" w:rsidRDefault="0053486D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B05E2">
        <w:rPr>
          <w:rFonts w:ascii="Times-Bold" w:hAnsi="Times-Bold" w:cs="Times-Bold"/>
          <w:b/>
          <w:bCs/>
          <w:sz w:val="32"/>
          <w:szCs w:val="32"/>
        </w:rPr>
        <w:t>Application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9. Rex Hospital has since been acquired by the University of North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2B05E2">
        <w:rPr>
          <w:rFonts w:ascii="Times-Roman" w:hAnsi="Times-Roman" w:cs="Times-Roman"/>
          <w:sz w:val="32"/>
          <w:szCs w:val="32"/>
        </w:rPr>
        <w:t>Carolina Health Care System (www.unchealthcare.org). How would</w:t>
      </w:r>
    </w:p>
    <w:p w:rsidR="002B05E2" w:rsidRPr="002B05E2" w:rsidRDefault="002B05E2" w:rsidP="002B05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you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modify its quality improvement programs to enhance their potential</w:t>
      </w:r>
    </w:p>
    <w:p w:rsidR="002B05E2" w:rsidRPr="002B05E2" w:rsidRDefault="002B05E2" w:rsidP="002B05E2">
      <w:pPr>
        <w:rPr>
          <w:sz w:val="32"/>
          <w:szCs w:val="32"/>
        </w:rPr>
      </w:pPr>
      <w:proofErr w:type="gramStart"/>
      <w:r w:rsidRPr="002B05E2">
        <w:rPr>
          <w:rFonts w:ascii="Times-Roman" w:hAnsi="Times-Roman" w:cs="Times-Roman"/>
          <w:sz w:val="32"/>
          <w:szCs w:val="32"/>
        </w:rPr>
        <w:t>contribution</w:t>
      </w:r>
      <w:proofErr w:type="gramEnd"/>
      <w:r w:rsidRPr="002B05E2">
        <w:rPr>
          <w:rFonts w:ascii="Times-Roman" w:hAnsi="Times-Roman" w:cs="Times-Roman"/>
          <w:sz w:val="32"/>
          <w:szCs w:val="32"/>
        </w:rPr>
        <w:t xml:space="preserve"> to teaching CQI to health professionals in training?</w:t>
      </w:r>
    </w:p>
    <w:sectPr w:rsidR="002B05E2" w:rsidRPr="002B05E2" w:rsidSect="00A3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B05E2"/>
    <w:rsid w:val="001358B7"/>
    <w:rsid w:val="002B05E2"/>
    <w:rsid w:val="002C5709"/>
    <w:rsid w:val="0036012E"/>
    <w:rsid w:val="004F249A"/>
    <w:rsid w:val="0053486D"/>
    <w:rsid w:val="005D014D"/>
    <w:rsid w:val="00A37A8A"/>
    <w:rsid w:val="00C6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Ranisha</dc:creator>
  <cp:lastModifiedBy>Ranisha</cp:lastModifiedBy>
  <cp:revision>1</cp:revision>
  <dcterms:created xsi:type="dcterms:W3CDTF">2011-12-20T21:09:00Z</dcterms:created>
  <dcterms:modified xsi:type="dcterms:W3CDTF">2011-12-20T22:44:00Z</dcterms:modified>
</cp:coreProperties>
</file>