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4B" w:rsidRDefault="009D514B" w:rsidP="009D514B">
      <w:r>
        <w:t xml:space="preserve">(NOTE: Hypothesis testing only for independent variable slopes (b1 and b2). Calculate the 95% Confidence intervals for b1 and b2.) </w:t>
      </w:r>
    </w:p>
    <w:p w:rsidR="009D514B" w:rsidRDefault="009D514B" w:rsidP="009D514B">
      <w:pPr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3</w:t>
      </w:r>
      <w:r>
        <w:rPr>
          <w:rFonts w:ascii="Thorndale for VST" w:hAnsi="Thorndale for VST" w:cs="Thorndale for VST"/>
          <w:sz w:val="24"/>
          <w:szCs w:val="24"/>
        </w:rPr>
        <w:tab/>
        <w:t xml:space="preserve">THE FUEL CONSUMPTION CASE </w:t>
      </w: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Use the output in </w:t>
      </w:r>
      <w:r>
        <w:rPr>
          <w:rFonts w:ascii="Thorndale for VST" w:hAnsi="Thorndale for VST" w:cs="Thorndale for VST"/>
          <w:color w:val="0000FF"/>
          <w:sz w:val="24"/>
          <w:szCs w:val="24"/>
          <w:u w:val="single"/>
        </w:rPr>
        <w:t xml:space="preserve">(Fig 1a) </w:t>
      </w:r>
      <w:r>
        <w:rPr>
          <w:rFonts w:ascii="Thorndale for VST" w:hAnsi="Thorndale for VST" w:cs="Thorndale for VST"/>
          <w:sz w:val="24"/>
          <w:szCs w:val="24"/>
        </w:rPr>
        <w:t xml:space="preserve">to do (1) through (6) for each of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,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, and </w:t>
      </w:r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2</w:t>
      </w:r>
      <w:r>
        <w:rPr>
          <w:rFonts w:ascii="Thorndale for VST" w:hAnsi="Thorndale for VST" w:cs="Thorndale for VST"/>
          <w:sz w:val="24"/>
          <w:szCs w:val="24"/>
        </w:rPr>
        <w:t xml:space="preserve"> .</w:t>
      </w:r>
      <w:proofErr w:type="gramEnd"/>
    </w:p>
    <w:p w:rsidR="009D514B" w:rsidRDefault="009D514B" w:rsidP="009D514B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  <w:sz w:val="32"/>
          <w:szCs w:val="32"/>
        </w:rPr>
      </w:pPr>
    </w:p>
    <w:p w:rsidR="009D514B" w:rsidRDefault="009D514B" w:rsidP="009D514B">
      <w:pPr>
        <w:autoSpaceDE w:val="0"/>
        <w:autoSpaceDN w:val="0"/>
        <w:adjustRightInd w:val="0"/>
        <w:spacing w:after="0" w:line="240" w:lineRule="auto"/>
        <w:rPr>
          <w:rFonts w:ascii="Andale Sans for VST" w:hAnsi="Andale Sans for VST" w:cs="Andale Sans for VST"/>
          <w:sz w:val="32"/>
          <w:szCs w:val="32"/>
        </w:rPr>
      </w:pPr>
      <w:r>
        <w:rPr>
          <w:rFonts w:ascii="Andale Sans for VST" w:hAnsi="Andale Sans for VST" w:cs="Andale Sans for VST"/>
          <w:sz w:val="32"/>
          <w:szCs w:val="32"/>
        </w:rPr>
        <w:t>(Fig-1a)</w:t>
      </w:r>
      <w:r>
        <w:rPr>
          <w:rFonts w:ascii="Andale Sans for VST" w:hAnsi="Andale Sans for VST" w:cs="Andale Sans for VST"/>
          <w:sz w:val="32"/>
          <w:szCs w:val="32"/>
        </w:rPr>
        <w:tab/>
      </w:r>
      <w:r>
        <w:rPr>
          <w:rFonts w:ascii="Andale Sans for VST" w:hAnsi="Andale Sans for VST" w:cs="Andale Sans for VST"/>
          <w:b/>
          <w:bCs/>
          <w:i/>
          <w:iCs/>
          <w:sz w:val="32"/>
          <w:szCs w:val="32"/>
        </w:rPr>
        <w:t>t</w:t>
      </w:r>
      <w:r>
        <w:rPr>
          <w:rFonts w:ascii="Andale Sans for VST" w:hAnsi="Andale Sans for VST" w:cs="Andale Sans for VST"/>
          <w:sz w:val="32"/>
          <w:szCs w:val="32"/>
        </w:rPr>
        <w:t xml:space="preserve"> Statistics and </w:t>
      </w:r>
      <w:r>
        <w:rPr>
          <w:rFonts w:ascii="Andale Sans for VST" w:hAnsi="Andale Sans for VST" w:cs="Andale Sans for VST"/>
          <w:i/>
          <w:iCs/>
          <w:sz w:val="32"/>
          <w:szCs w:val="32"/>
        </w:rPr>
        <w:t>p</w:t>
      </w:r>
      <w:r>
        <w:rPr>
          <w:rFonts w:ascii="Andale Sans for VST" w:hAnsi="Andale Sans for VST" w:cs="Andale Sans for VST"/>
          <w:sz w:val="32"/>
          <w:szCs w:val="32"/>
        </w:rPr>
        <w:t>-Values for Four Case Studies</w:t>
      </w: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ind w:left="90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5414010" cy="455676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5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A3" w:rsidRDefault="00447DA3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b/>
          <w:bCs/>
          <w:color w:val="7DA7D8"/>
          <w:sz w:val="24"/>
          <w:szCs w:val="24"/>
        </w:rPr>
      </w:pPr>
    </w:p>
    <w:p w:rsidR="00447DA3" w:rsidRDefault="00447DA3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b/>
          <w:bCs/>
          <w:color w:val="7DA7D8"/>
          <w:sz w:val="24"/>
          <w:szCs w:val="24"/>
        </w:rPr>
      </w:pPr>
    </w:p>
    <w:p w:rsidR="00447DA3" w:rsidRDefault="00447DA3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b/>
          <w:bCs/>
          <w:color w:val="7DA7D8"/>
          <w:sz w:val="24"/>
          <w:szCs w:val="24"/>
        </w:rPr>
      </w:pPr>
    </w:p>
    <w:p w:rsidR="00447DA3" w:rsidRDefault="00447DA3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b/>
          <w:bCs/>
          <w:color w:val="7DA7D8"/>
          <w:sz w:val="24"/>
          <w:szCs w:val="24"/>
        </w:rPr>
      </w:pP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lastRenderedPageBreak/>
        <w:t>1</w:t>
      </w:r>
      <w:r>
        <w:rPr>
          <w:rFonts w:ascii="Thorndale for VST" w:hAnsi="Thorndale for VST" w:cs="Thorndale for VST"/>
          <w:sz w:val="24"/>
          <w:szCs w:val="24"/>
        </w:rPr>
        <w:tab/>
        <w:t xml:space="preserve">Find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b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,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s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bj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, and the </w:t>
      </w:r>
      <w:r>
        <w:rPr>
          <w:rFonts w:ascii="Thorndale for VST" w:hAnsi="Thorndale for VST" w:cs="Thorndale for VST"/>
          <w:i/>
          <w:iCs/>
          <w:sz w:val="24"/>
          <w:szCs w:val="24"/>
        </w:rPr>
        <w:t>t</w:t>
      </w:r>
      <w:r>
        <w:rPr>
          <w:rFonts w:ascii="Thorndale for VST" w:hAnsi="Thorndale for VST" w:cs="Thorndale for VST"/>
          <w:sz w:val="24"/>
          <w:szCs w:val="24"/>
        </w:rPr>
        <w:t xml:space="preserve"> statistic for testing </w:t>
      </w:r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: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= 0 on the output and report their values. Show how </w:t>
      </w:r>
      <w:r>
        <w:rPr>
          <w:rFonts w:ascii="Thorndale for VST" w:hAnsi="Thorndale for VST" w:cs="Thorndale for VST"/>
          <w:i/>
          <w:iCs/>
          <w:sz w:val="24"/>
          <w:szCs w:val="24"/>
        </w:rPr>
        <w:t>t</w:t>
      </w:r>
      <w:r>
        <w:rPr>
          <w:rFonts w:ascii="Thorndale for VST" w:hAnsi="Thorndale for VST" w:cs="Thorndale for VST"/>
          <w:sz w:val="24"/>
          <w:szCs w:val="24"/>
        </w:rPr>
        <w:t xml:space="preserve"> has been calculated by using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b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and </w:t>
      </w:r>
      <w:proofErr w:type="spellStart"/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s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bj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.</w:t>
      </w:r>
      <w:proofErr w:type="gramEnd"/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t>2</w:t>
      </w:r>
      <w:r>
        <w:rPr>
          <w:rFonts w:ascii="Thorndale for VST" w:hAnsi="Thorndale for VST" w:cs="Thorndale for VST"/>
          <w:sz w:val="24"/>
          <w:szCs w:val="24"/>
        </w:rPr>
        <w:tab/>
        <w:t xml:space="preserve">Using the </w:t>
      </w:r>
      <w:r>
        <w:rPr>
          <w:rFonts w:ascii="Thorndale for VST" w:hAnsi="Thorndale for VST" w:cs="Thorndale for VST"/>
          <w:i/>
          <w:iCs/>
          <w:sz w:val="24"/>
          <w:szCs w:val="24"/>
        </w:rPr>
        <w:t>t</w:t>
      </w:r>
      <w:r>
        <w:rPr>
          <w:rFonts w:ascii="Thorndale for VST" w:hAnsi="Thorndale for VST" w:cs="Thorndale for VST"/>
          <w:sz w:val="24"/>
          <w:szCs w:val="24"/>
        </w:rPr>
        <w:t xml:space="preserve"> statistic and appropriate critical values, test </w:t>
      </w:r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: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</w:t>
      </w:r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1</w:t>
      </w:r>
      <w:r>
        <w:rPr>
          <w:rFonts w:ascii="Thorndale for VST" w:hAnsi="Thorndale for VST" w:cs="Thorndale for VST"/>
          <w:sz w:val="24"/>
          <w:szCs w:val="24"/>
        </w:rPr>
        <w:t xml:space="preserve"> = 0 versus </w:t>
      </w:r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a</w:t>
      </w:r>
      <w:r>
        <w:rPr>
          <w:rFonts w:ascii="Thorndale for VST" w:hAnsi="Thorndale for VST" w:cs="Thorndale for VST"/>
          <w:sz w:val="24"/>
          <w:szCs w:val="24"/>
        </w:rPr>
        <w:t xml:space="preserve"> : ≠ 0 by setting a equal to .05. Which independent variables are significantly related to </w:t>
      </w:r>
      <w:r>
        <w:rPr>
          <w:rFonts w:ascii="Thorndale for VST" w:hAnsi="Thorndale for VST" w:cs="Thorndale for VST"/>
          <w:i/>
          <w:iCs/>
          <w:sz w:val="24"/>
          <w:szCs w:val="24"/>
        </w:rPr>
        <w:t>y</w:t>
      </w:r>
      <w:r>
        <w:rPr>
          <w:rFonts w:ascii="Thorndale for VST" w:hAnsi="Thorndale for VST" w:cs="Thorndale for VST"/>
          <w:sz w:val="24"/>
          <w:szCs w:val="24"/>
        </w:rPr>
        <w:t xml:space="preserve"> in the model with </w:t>
      </w:r>
      <w:r>
        <w:rPr>
          <w:rFonts w:ascii="Thorndale for VST" w:hAnsi="Thorndale for VST" w:cs="Thorndale for VST"/>
          <w:i/>
          <w:iCs/>
          <w:sz w:val="24"/>
          <w:szCs w:val="24"/>
        </w:rPr>
        <w:t>a</w:t>
      </w:r>
      <w:r>
        <w:rPr>
          <w:rFonts w:ascii="Thorndale for VST" w:hAnsi="Thorndale for VST" w:cs="Thorndale for VST"/>
          <w:sz w:val="24"/>
          <w:szCs w:val="24"/>
        </w:rPr>
        <w:t xml:space="preserve"> = .05?</w:t>
      </w: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t>3</w:t>
      </w:r>
      <w:r>
        <w:rPr>
          <w:rFonts w:ascii="Thorndale for VST" w:hAnsi="Thorndale for VST" w:cs="Thorndale for VST"/>
          <w:sz w:val="24"/>
          <w:szCs w:val="24"/>
        </w:rPr>
        <w:tab/>
        <w:t xml:space="preserve">Using the </w:t>
      </w:r>
      <w:r>
        <w:rPr>
          <w:rFonts w:ascii="Thorndale for VST" w:hAnsi="Thorndale for VST" w:cs="Thorndale for VST"/>
          <w:i/>
          <w:iCs/>
          <w:sz w:val="24"/>
          <w:szCs w:val="24"/>
        </w:rPr>
        <w:t>t</w:t>
      </w:r>
      <w:r>
        <w:rPr>
          <w:rFonts w:ascii="Thorndale for VST" w:hAnsi="Thorndale for VST" w:cs="Thorndale for VST"/>
          <w:sz w:val="24"/>
          <w:szCs w:val="24"/>
        </w:rPr>
        <w:t xml:space="preserve"> statistic and appropriate critical values, test </w:t>
      </w:r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: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= 0 versus </w:t>
      </w:r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a</w:t>
      </w:r>
      <w:r>
        <w:rPr>
          <w:rFonts w:ascii="Thorndale for VST" w:hAnsi="Thorndale for VST" w:cs="Thorndale for VST"/>
          <w:sz w:val="24"/>
          <w:szCs w:val="24"/>
        </w:rPr>
        <w:t xml:space="preserve"> :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≠ 0 by setting α equal to .01. Which independent variables are significantly related to </w:t>
      </w:r>
      <w:r>
        <w:rPr>
          <w:rFonts w:ascii="Thorndale for VST" w:hAnsi="Thorndale for VST" w:cs="Thorndale for VST"/>
          <w:i/>
          <w:iCs/>
          <w:sz w:val="24"/>
          <w:szCs w:val="24"/>
        </w:rPr>
        <w:t>y</w:t>
      </w:r>
      <w:r>
        <w:rPr>
          <w:rFonts w:ascii="Thorndale for VST" w:hAnsi="Thorndale for VST" w:cs="Thorndale for VST"/>
          <w:sz w:val="24"/>
          <w:szCs w:val="24"/>
        </w:rPr>
        <w:t xml:space="preserve"> in the model with α = .01?</w:t>
      </w: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t>4</w:t>
      </w:r>
      <w:r>
        <w:rPr>
          <w:rFonts w:ascii="Thorndale for VST" w:hAnsi="Thorndale for VST" w:cs="Thorndale for VST"/>
          <w:sz w:val="24"/>
          <w:szCs w:val="24"/>
        </w:rPr>
        <w:tab/>
        <w:t xml:space="preserve">Find the </w:t>
      </w:r>
      <w:r>
        <w:rPr>
          <w:rFonts w:ascii="Thorndale for VST" w:hAnsi="Thorndale for VST" w:cs="Thorndale for VST"/>
          <w:i/>
          <w:iCs/>
          <w:sz w:val="24"/>
          <w:szCs w:val="24"/>
        </w:rPr>
        <w:t>p</w:t>
      </w:r>
      <w:r>
        <w:rPr>
          <w:rFonts w:ascii="Thorndale for VST" w:hAnsi="Thorndale for VST" w:cs="Thorndale for VST"/>
          <w:sz w:val="24"/>
          <w:szCs w:val="24"/>
        </w:rPr>
        <w:t xml:space="preserve">-value for testing </w:t>
      </w:r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: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= 0 versus </w:t>
      </w:r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a</w:t>
      </w:r>
      <w:r>
        <w:rPr>
          <w:rFonts w:ascii="Thorndale for VST" w:hAnsi="Thorndale for VST" w:cs="Thorndale for VST"/>
          <w:sz w:val="24"/>
          <w:szCs w:val="24"/>
        </w:rPr>
        <w:t xml:space="preserve"> :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≠ 0 on the output. Using the </w:t>
      </w:r>
      <w:r>
        <w:rPr>
          <w:rFonts w:ascii="Thorndale for VST" w:hAnsi="Thorndale for VST" w:cs="Thorndale for VST"/>
          <w:i/>
          <w:iCs/>
          <w:sz w:val="24"/>
          <w:szCs w:val="24"/>
        </w:rPr>
        <w:t>p</w:t>
      </w:r>
      <w:r>
        <w:rPr>
          <w:rFonts w:ascii="Thorndale for VST" w:hAnsi="Thorndale for VST" w:cs="Thorndale for VST"/>
          <w:sz w:val="24"/>
          <w:szCs w:val="24"/>
        </w:rPr>
        <w:t xml:space="preserve">-value, determine whether we can reject </w:t>
      </w:r>
      <w:r>
        <w:rPr>
          <w:rFonts w:ascii="Thorndale for VST" w:hAnsi="Thorndale for VST" w:cs="Thorndale for VST"/>
          <w:i/>
          <w:iCs/>
          <w:sz w:val="24"/>
          <w:szCs w:val="24"/>
        </w:rPr>
        <w:t>H</w:t>
      </w:r>
      <w:r>
        <w:rPr>
          <w:rFonts w:ascii="Thorndale for VST" w:hAnsi="Thorndale for VST" w:cs="Thorndale for VST"/>
          <w:sz w:val="24"/>
          <w:szCs w:val="24"/>
          <w:vertAlign w:val="subscript"/>
        </w:rPr>
        <w:t>0</w:t>
      </w:r>
      <w:r>
        <w:rPr>
          <w:rFonts w:ascii="Thorndale for VST" w:hAnsi="Thorndale for VST" w:cs="Thorndale for VST"/>
          <w:sz w:val="24"/>
          <w:szCs w:val="24"/>
        </w:rPr>
        <w:t xml:space="preserve"> by setting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a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equal to .10, .05, .01, and .001. What do you conclude about the significance of the independent variables in the model?</w:t>
      </w:r>
    </w:p>
    <w:p w:rsidR="009D514B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t>5</w:t>
      </w:r>
      <w:r>
        <w:rPr>
          <w:rFonts w:ascii="Thorndale for VST" w:hAnsi="Thorndale for VST" w:cs="Thorndale for VST"/>
          <w:sz w:val="24"/>
          <w:szCs w:val="24"/>
        </w:rPr>
        <w:tab/>
        <w:t xml:space="preserve">Calculate the 95 percent confidence interval for </w:t>
      </w:r>
      <w:proofErr w:type="spell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>. Discuss one practical application of this interval.</w:t>
      </w:r>
    </w:p>
    <w:p w:rsidR="009D514B" w:rsidRPr="00A34204" w:rsidRDefault="009D514B" w:rsidP="009D514B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color w:val="7DA7D8"/>
          <w:sz w:val="24"/>
          <w:szCs w:val="24"/>
        </w:rPr>
        <w:t>6</w:t>
      </w:r>
      <w:r>
        <w:rPr>
          <w:rFonts w:ascii="Thorndale for VST" w:hAnsi="Thorndale for VST" w:cs="Thorndale for VST"/>
          <w:sz w:val="24"/>
          <w:szCs w:val="24"/>
        </w:rPr>
        <w:tab/>
        <w:t xml:space="preserve">Calculate the 99 percent confidence interval for </w:t>
      </w:r>
      <w:proofErr w:type="spellStart"/>
      <w:proofErr w:type="gramStart"/>
      <w:r>
        <w:rPr>
          <w:rFonts w:ascii="Thorndale for VST" w:hAnsi="Thorndale for VST" w:cs="Thorndale for VST"/>
          <w:i/>
          <w:iCs/>
          <w:sz w:val="24"/>
          <w:szCs w:val="24"/>
        </w:rPr>
        <w:t>β</w:t>
      </w:r>
      <w:r>
        <w:rPr>
          <w:rFonts w:ascii="Thorndale for VST" w:hAnsi="Thorndale for VST" w:cs="Thorndale for VST"/>
          <w:i/>
          <w:iCs/>
          <w:sz w:val="24"/>
          <w:szCs w:val="24"/>
          <w:vertAlign w:val="subscript"/>
        </w:rPr>
        <w:t>j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.</w:t>
      </w:r>
      <w:proofErr w:type="gramEnd"/>
    </w:p>
    <w:p w:rsidR="00760CE8" w:rsidRDefault="00760CE8"/>
    <w:sectPr w:rsidR="00760CE8" w:rsidSect="0076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Andale Sans for VST">
    <w:panose1 w:val="020B0502000000000001"/>
    <w:charset w:val="00"/>
    <w:family w:val="swiss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14B"/>
    <w:rsid w:val="00447DA3"/>
    <w:rsid w:val="00760CE8"/>
    <w:rsid w:val="009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Jasso</dc:creator>
  <cp:lastModifiedBy>Robert Jasso</cp:lastModifiedBy>
  <cp:revision>2</cp:revision>
  <dcterms:created xsi:type="dcterms:W3CDTF">2011-12-10T07:08:00Z</dcterms:created>
  <dcterms:modified xsi:type="dcterms:W3CDTF">2011-12-10T07:10:00Z</dcterms:modified>
</cp:coreProperties>
</file>