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2D" w:rsidRDefault="007D0A2D" w:rsidP="007D0A2D">
      <w:pPr>
        <w:pStyle w:val="ListParagraph"/>
        <w:spacing w:before="120"/>
        <w:ind w:left="0" w:firstLine="0"/>
        <w:contextualSpacing w:val="0"/>
        <w:rPr>
          <w:b/>
        </w:rPr>
      </w:pPr>
      <w:r>
        <w:rPr>
          <w:b/>
        </w:rPr>
        <w:t>Problem 10-14</w:t>
      </w:r>
    </w:p>
    <w:p w:rsidR="007D0A2D" w:rsidRDefault="007D0A2D" w:rsidP="007D0A2D">
      <w:r>
        <w:t>BMW is planning to launch a new sport utility vehicle (SUV)</w:t>
      </w:r>
      <w:proofErr w:type="gramStart"/>
      <w:r>
        <w:t>,</w:t>
      </w:r>
      <w:proofErr w:type="gramEnd"/>
      <w:r>
        <w:t xml:space="preserve"> Initially it will have limited production for this model, with a total of only 20,000 units being produced for the year.  King’s BMW </w:t>
      </w:r>
      <w:proofErr w:type="gramStart"/>
      <w:r>
        <w:t>has been offered</w:t>
      </w:r>
      <w:proofErr w:type="gramEnd"/>
      <w:r>
        <w:t xml:space="preserve"> up to four of the SUV’s for sale.  King’s estimates that the profit it earns from purchasing these SUV’s </w:t>
      </w:r>
      <w:proofErr w:type="gramStart"/>
      <w:r>
        <w:t>will be based</w:t>
      </w:r>
      <w:proofErr w:type="gramEnd"/>
      <w:r>
        <w:t xml:space="preserve"> on the review it receives from Road and Track magazine.  The review will give the SUV one of five ratings: poor, good, very good, excellent, or outstanding.  The following table gives the profitability Jan King estimates the dealership will learn from ordering the </w:t>
      </w:r>
      <w:proofErr w:type="gramStart"/>
      <w:r>
        <w:t>SUV’s</w:t>
      </w:r>
      <w:proofErr w:type="gramEnd"/>
      <w:r>
        <w:t xml:space="preserve"> based on the rating the vehicle receives;</w:t>
      </w:r>
    </w:p>
    <w:p w:rsidR="007D0A2D" w:rsidRDefault="007D0A2D" w:rsidP="007D0A2D"/>
    <w:tbl>
      <w:tblPr>
        <w:tblStyle w:val="TableGrid"/>
        <w:tblW w:w="0" w:type="auto"/>
        <w:tblLook w:val="04A0"/>
      </w:tblPr>
      <w:tblGrid>
        <w:gridCol w:w="1463"/>
        <w:gridCol w:w="1221"/>
        <w:gridCol w:w="1322"/>
        <w:gridCol w:w="1341"/>
        <w:gridCol w:w="1341"/>
        <w:gridCol w:w="1425"/>
      </w:tblGrid>
      <w:tr w:rsidR="007D0A2D" w:rsidTr="00B61EC4">
        <w:tc>
          <w:tcPr>
            <w:tcW w:w="1463" w:type="dxa"/>
            <w:vAlign w:val="center"/>
          </w:tcPr>
          <w:p w:rsidR="007D0A2D" w:rsidRDefault="007D0A2D" w:rsidP="00B61EC4">
            <w:pPr>
              <w:jc w:val="center"/>
            </w:pPr>
          </w:p>
        </w:tc>
        <w:tc>
          <w:tcPr>
            <w:tcW w:w="6650" w:type="dxa"/>
            <w:gridSpan w:val="5"/>
          </w:tcPr>
          <w:p w:rsidR="007D0A2D" w:rsidRPr="00783CE6" w:rsidRDefault="007D0A2D" w:rsidP="00B61E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Review in Road and Track</w:t>
            </w:r>
          </w:p>
        </w:tc>
      </w:tr>
      <w:tr w:rsidR="007D0A2D" w:rsidTr="00B61EC4">
        <w:tc>
          <w:tcPr>
            <w:tcW w:w="1463" w:type="dxa"/>
            <w:vAlign w:val="center"/>
          </w:tcPr>
          <w:p w:rsidR="007D0A2D" w:rsidRPr="00783CE6" w:rsidRDefault="007D0A2D" w:rsidP="00B61EC4">
            <w:pPr>
              <w:jc w:val="center"/>
              <w:rPr>
                <w:b/>
              </w:rPr>
            </w:pPr>
            <w:r w:rsidRPr="00783CE6">
              <w:rPr>
                <w:b/>
              </w:rPr>
              <w:t>SUVs Ordered</w:t>
            </w:r>
          </w:p>
        </w:tc>
        <w:tc>
          <w:tcPr>
            <w:tcW w:w="1221" w:type="dxa"/>
            <w:vAlign w:val="center"/>
          </w:tcPr>
          <w:p w:rsidR="007D0A2D" w:rsidRPr="00783CE6" w:rsidRDefault="007D0A2D" w:rsidP="00B61EC4">
            <w:pPr>
              <w:jc w:val="center"/>
              <w:rPr>
                <w:b/>
              </w:rPr>
            </w:pPr>
            <w:r w:rsidRPr="00783CE6">
              <w:rPr>
                <w:b/>
              </w:rPr>
              <w:t>Poor</w:t>
            </w:r>
          </w:p>
        </w:tc>
        <w:tc>
          <w:tcPr>
            <w:tcW w:w="1322" w:type="dxa"/>
            <w:vAlign w:val="center"/>
          </w:tcPr>
          <w:p w:rsidR="007D0A2D" w:rsidRPr="00783CE6" w:rsidRDefault="007D0A2D" w:rsidP="00B61EC4">
            <w:pPr>
              <w:jc w:val="center"/>
              <w:rPr>
                <w:b/>
              </w:rPr>
            </w:pPr>
            <w:r w:rsidRPr="00783CE6">
              <w:rPr>
                <w:b/>
              </w:rPr>
              <w:t>Good</w:t>
            </w:r>
          </w:p>
        </w:tc>
        <w:tc>
          <w:tcPr>
            <w:tcW w:w="1341" w:type="dxa"/>
            <w:vAlign w:val="center"/>
          </w:tcPr>
          <w:p w:rsidR="007D0A2D" w:rsidRPr="00783CE6" w:rsidRDefault="007D0A2D" w:rsidP="00B61EC4">
            <w:pPr>
              <w:jc w:val="center"/>
              <w:rPr>
                <w:b/>
              </w:rPr>
            </w:pPr>
            <w:r w:rsidRPr="00783CE6">
              <w:rPr>
                <w:b/>
              </w:rPr>
              <w:t>Very Good</w:t>
            </w:r>
          </w:p>
        </w:tc>
        <w:tc>
          <w:tcPr>
            <w:tcW w:w="1341" w:type="dxa"/>
            <w:vAlign w:val="center"/>
          </w:tcPr>
          <w:p w:rsidR="007D0A2D" w:rsidRPr="00783CE6" w:rsidRDefault="007D0A2D" w:rsidP="00B61EC4">
            <w:pPr>
              <w:jc w:val="center"/>
              <w:rPr>
                <w:b/>
              </w:rPr>
            </w:pPr>
            <w:r w:rsidRPr="00783CE6">
              <w:rPr>
                <w:b/>
              </w:rPr>
              <w:t>Excellent</w:t>
            </w:r>
          </w:p>
        </w:tc>
        <w:tc>
          <w:tcPr>
            <w:tcW w:w="1425" w:type="dxa"/>
            <w:vAlign w:val="center"/>
          </w:tcPr>
          <w:p w:rsidR="007D0A2D" w:rsidRPr="00783CE6" w:rsidRDefault="007D0A2D" w:rsidP="00B61EC4">
            <w:pPr>
              <w:jc w:val="center"/>
              <w:rPr>
                <w:b/>
              </w:rPr>
            </w:pPr>
            <w:r w:rsidRPr="00783CE6">
              <w:rPr>
                <w:b/>
              </w:rPr>
              <w:t>Outstanding</w:t>
            </w:r>
          </w:p>
        </w:tc>
      </w:tr>
      <w:tr w:rsidR="007D0A2D" w:rsidTr="00B61EC4">
        <w:tc>
          <w:tcPr>
            <w:tcW w:w="1463" w:type="dxa"/>
            <w:vAlign w:val="center"/>
          </w:tcPr>
          <w:p w:rsidR="007D0A2D" w:rsidRDefault="007D0A2D" w:rsidP="00B61EC4">
            <w:pPr>
              <w:jc w:val="center"/>
            </w:pPr>
            <w:r>
              <w:t>0</w:t>
            </w:r>
          </w:p>
        </w:tc>
        <w:tc>
          <w:tcPr>
            <w:tcW w:w="1221" w:type="dxa"/>
          </w:tcPr>
          <w:p w:rsidR="007D0A2D" w:rsidRDefault="007D0A2D" w:rsidP="00B61EC4">
            <w:pPr>
              <w:jc w:val="center"/>
            </w:pPr>
            <w:r>
              <w:t>$2,000</w:t>
            </w:r>
          </w:p>
        </w:tc>
        <w:tc>
          <w:tcPr>
            <w:tcW w:w="1322" w:type="dxa"/>
            <w:vAlign w:val="center"/>
          </w:tcPr>
          <w:p w:rsidR="007D0A2D" w:rsidRDefault="007D0A2D" w:rsidP="00B61EC4">
            <w:pPr>
              <w:jc w:val="center"/>
            </w:pPr>
            <w:r>
              <w:t>$5,000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3000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-1000</w:t>
            </w:r>
          </w:p>
        </w:tc>
        <w:tc>
          <w:tcPr>
            <w:tcW w:w="1425" w:type="dxa"/>
            <w:vAlign w:val="center"/>
          </w:tcPr>
          <w:p w:rsidR="007D0A2D" w:rsidRDefault="007D0A2D" w:rsidP="00B61EC4">
            <w:pPr>
              <w:jc w:val="center"/>
            </w:pPr>
            <w:r>
              <w:t>-4000</w:t>
            </w:r>
          </w:p>
        </w:tc>
      </w:tr>
      <w:tr w:rsidR="007D0A2D" w:rsidTr="00B61EC4">
        <w:tc>
          <w:tcPr>
            <w:tcW w:w="1463" w:type="dxa"/>
            <w:vAlign w:val="center"/>
          </w:tcPr>
          <w:p w:rsidR="007D0A2D" w:rsidRDefault="007D0A2D" w:rsidP="00B61EC4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7D0A2D" w:rsidRDefault="007D0A2D" w:rsidP="00B61EC4">
            <w:pPr>
              <w:jc w:val="center"/>
            </w:pPr>
            <w:r>
              <w:t>1000</w:t>
            </w:r>
          </w:p>
        </w:tc>
        <w:tc>
          <w:tcPr>
            <w:tcW w:w="1322" w:type="dxa"/>
            <w:vAlign w:val="center"/>
          </w:tcPr>
          <w:p w:rsidR="007D0A2D" w:rsidRDefault="007D0A2D" w:rsidP="00B61EC4">
            <w:pPr>
              <w:jc w:val="center"/>
            </w:pPr>
            <w:r>
              <w:t>3000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6000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4000</w:t>
            </w:r>
          </w:p>
        </w:tc>
        <w:tc>
          <w:tcPr>
            <w:tcW w:w="1425" w:type="dxa"/>
            <w:vAlign w:val="center"/>
          </w:tcPr>
          <w:p w:rsidR="007D0A2D" w:rsidRDefault="007D0A2D" w:rsidP="00B61EC4">
            <w:pPr>
              <w:jc w:val="center"/>
            </w:pPr>
            <w:r>
              <w:t>1000</w:t>
            </w:r>
          </w:p>
        </w:tc>
      </w:tr>
      <w:tr w:rsidR="007D0A2D" w:rsidTr="00B61EC4">
        <w:tc>
          <w:tcPr>
            <w:tcW w:w="1463" w:type="dxa"/>
            <w:vAlign w:val="center"/>
          </w:tcPr>
          <w:p w:rsidR="007D0A2D" w:rsidRDefault="007D0A2D" w:rsidP="00B61EC4">
            <w:pPr>
              <w:jc w:val="center"/>
            </w:pPr>
            <w:r>
              <w:t>2</w:t>
            </w:r>
          </w:p>
        </w:tc>
        <w:tc>
          <w:tcPr>
            <w:tcW w:w="1221" w:type="dxa"/>
          </w:tcPr>
          <w:p w:rsidR="007D0A2D" w:rsidRDefault="007D0A2D" w:rsidP="00B61EC4">
            <w:pPr>
              <w:jc w:val="center"/>
            </w:pPr>
            <w:r>
              <w:t>-5000</w:t>
            </w:r>
          </w:p>
        </w:tc>
        <w:tc>
          <w:tcPr>
            <w:tcW w:w="1322" w:type="dxa"/>
            <w:vAlign w:val="center"/>
          </w:tcPr>
          <w:p w:rsidR="007D0A2D" w:rsidRDefault="007D0A2D" w:rsidP="00B61EC4">
            <w:pPr>
              <w:jc w:val="center"/>
            </w:pPr>
            <w:r>
              <w:t>-1000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4000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8000</w:t>
            </w:r>
          </w:p>
        </w:tc>
        <w:tc>
          <w:tcPr>
            <w:tcW w:w="1425" w:type="dxa"/>
            <w:vAlign w:val="center"/>
          </w:tcPr>
          <w:p w:rsidR="007D0A2D" w:rsidRDefault="007D0A2D" w:rsidP="00B61EC4">
            <w:pPr>
              <w:jc w:val="center"/>
            </w:pPr>
            <w:r>
              <w:t>9000</w:t>
            </w:r>
          </w:p>
        </w:tc>
      </w:tr>
      <w:tr w:rsidR="007D0A2D" w:rsidTr="00B61EC4">
        <w:tc>
          <w:tcPr>
            <w:tcW w:w="1463" w:type="dxa"/>
            <w:vAlign w:val="center"/>
          </w:tcPr>
          <w:p w:rsidR="007D0A2D" w:rsidRDefault="007D0A2D" w:rsidP="00B61EC4">
            <w:pPr>
              <w:jc w:val="center"/>
            </w:pPr>
            <w:r>
              <w:t>3</w:t>
            </w:r>
          </w:p>
        </w:tc>
        <w:tc>
          <w:tcPr>
            <w:tcW w:w="1221" w:type="dxa"/>
          </w:tcPr>
          <w:p w:rsidR="007D0A2D" w:rsidRDefault="007D0A2D" w:rsidP="00B61EC4">
            <w:pPr>
              <w:jc w:val="center"/>
            </w:pPr>
            <w:r>
              <w:t>-9000</w:t>
            </w:r>
          </w:p>
        </w:tc>
        <w:tc>
          <w:tcPr>
            <w:tcW w:w="1322" w:type="dxa"/>
            <w:vAlign w:val="center"/>
          </w:tcPr>
          <w:p w:rsidR="007D0A2D" w:rsidRDefault="007D0A2D" w:rsidP="00B61EC4">
            <w:pPr>
              <w:jc w:val="center"/>
            </w:pPr>
            <w:r>
              <w:t>-4000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3000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12000</w:t>
            </w:r>
          </w:p>
        </w:tc>
        <w:tc>
          <w:tcPr>
            <w:tcW w:w="1425" w:type="dxa"/>
            <w:vAlign w:val="center"/>
          </w:tcPr>
          <w:p w:rsidR="007D0A2D" w:rsidRDefault="007D0A2D" w:rsidP="00B61EC4">
            <w:pPr>
              <w:jc w:val="center"/>
            </w:pPr>
            <w:r>
              <w:t>15000</w:t>
            </w:r>
          </w:p>
        </w:tc>
      </w:tr>
      <w:tr w:rsidR="007D0A2D" w:rsidTr="00B61EC4">
        <w:tc>
          <w:tcPr>
            <w:tcW w:w="1463" w:type="dxa"/>
            <w:vAlign w:val="center"/>
          </w:tcPr>
          <w:p w:rsidR="007D0A2D" w:rsidRDefault="007D0A2D" w:rsidP="00B61EC4">
            <w:pPr>
              <w:jc w:val="center"/>
            </w:pPr>
            <w:r>
              <w:t>4</w:t>
            </w:r>
          </w:p>
        </w:tc>
        <w:tc>
          <w:tcPr>
            <w:tcW w:w="1221" w:type="dxa"/>
          </w:tcPr>
          <w:p w:rsidR="007D0A2D" w:rsidRDefault="007D0A2D" w:rsidP="00B61EC4">
            <w:pPr>
              <w:jc w:val="center"/>
            </w:pPr>
            <w:r>
              <w:t>-14000</w:t>
            </w:r>
          </w:p>
        </w:tc>
        <w:tc>
          <w:tcPr>
            <w:tcW w:w="1322" w:type="dxa"/>
            <w:vAlign w:val="center"/>
          </w:tcPr>
          <w:p w:rsidR="007D0A2D" w:rsidRDefault="007D0A2D" w:rsidP="00B61EC4">
            <w:pPr>
              <w:jc w:val="center"/>
            </w:pPr>
            <w:r>
              <w:t>-7000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2000</w:t>
            </w:r>
          </w:p>
        </w:tc>
        <w:tc>
          <w:tcPr>
            <w:tcW w:w="1341" w:type="dxa"/>
            <w:vAlign w:val="center"/>
          </w:tcPr>
          <w:p w:rsidR="007D0A2D" w:rsidRDefault="007D0A2D" w:rsidP="00B61EC4">
            <w:pPr>
              <w:jc w:val="center"/>
            </w:pPr>
            <w:r>
              <w:t>12000</w:t>
            </w:r>
          </w:p>
        </w:tc>
        <w:tc>
          <w:tcPr>
            <w:tcW w:w="1425" w:type="dxa"/>
            <w:vAlign w:val="center"/>
          </w:tcPr>
          <w:p w:rsidR="007D0A2D" w:rsidRDefault="007D0A2D" w:rsidP="00B61EC4">
            <w:pPr>
              <w:jc w:val="center"/>
            </w:pPr>
            <w:r>
              <w:t>20000</w:t>
            </w:r>
          </w:p>
        </w:tc>
      </w:tr>
    </w:tbl>
    <w:p w:rsidR="007D0A2D" w:rsidRDefault="007D0A2D" w:rsidP="007D0A2D"/>
    <w:p w:rsidR="007D0A2D" w:rsidRDefault="007D0A2D" w:rsidP="007D0A2D">
      <w:r>
        <w:t xml:space="preserve">How many SUV’s should the firm order </w:t>
      </w:r>
      <w:proofErr w:type="gramStart"/>
      <w:r>
        <w:t>if:</w:t>
      </w:r>
      <w:proofErr w:type="gramEnd"/>
    </w:p>
    <w:p w:rsidR="007D0A2D" w:rsidRDefault="007D0A2D" w:rsidP="007D0A2D"/>
    <w:p w:rsidR="007D0A2D" w:rsidRDefault="007D0A2D" w:rsidP="007D0A2D">
      <w:pPr>
        <w:pStyle w:val="ListParagraph"/>
        <w:numPr>
          <w:ilvl w:val="0"/>
          <w:numId w:val="1"/>
        </w:numPr>
      </w:pPr>
      <w:r>
        <w:t xml:space="preserve">It uses the </w:t>
      </w:r>
      <w:proofErr w:type="spellStart"/>
      <w:r>
        <w:t>maximin</w:t>
      </w:r>
      <w:proofErr w:type="spellEnd"/>
      <w:r>
        <w:t xml:space="preserve"> criterion.</w:t>
      </w:r>
    </w:p>
    <w:p w:rsidR="007D0A2D" w:rsidRDefault="007D0A2D" w:rsidP="007D0A2D">
      <w:pPr>
        <w:pStyle w:val="ListParagraph"/>
        <w:numPr>
          <w:ilvl w:val="0"/>
          <w:numId w:val="1"/>
        </w:numPr>
      </w:pPr>
      <w:r>
        <w:t xml:space="preserve">It uses the </w:t>
      </w:r>
      <w:proofErr w:type="spellStart"/>
      <w:r>
        <w:t>minimax</w:t>
      </w:r>
      <w:proofErr w:type="spellEnd"/>
      <w:r>
        <w:t xml:space="preserve"> regret criterion.</w:t>
      </w:r>
    </w:p>
    <w:p w:rsidR="007D0A2D" w:rsidRDefault="007D0A2D" w:rsidP="007D0A2D">
      <w:pPr>
        <w:pStyle w:val="ListParagraph"/>
        <w:numPr>
          <w:ilvl w:val="0"/>
          <w:numId w:val="1"/>
        </w:numPr>
      </w:pPr>
      <w:r>
        <w:t>It uses the principle of insufficient reason criterion.</w:t>
      </w:r>
    </w:p>
    <w:p w:rsidR="007D0A2D" w:rsidRDefault="007D0A2D" w:rsidP="007D0A2D"/>
    <w:p w:rsidR="007D0A2D" w:rsidRDefault="007D0A2D" w:rsidP="007D0A2D">
      <w:pPr>
        <w:rPr>
          <w:rFonts w:ascii="Calibri" w:eastAsia="Calibri" w:hAnsi="Calibri"/>
          <w:b/>
          <w:sz w:val="22"/>
          <w:szCs w:val="22"/>
        </w:rPr>
      </w:pPr>
      <w:r>
        <w:rPr>
          <w:b/>
        </w:rPr>
        <w:br w:type="page"/>
      </w:r>
    </w:p>
    <w:p w:rsidR="007D0A2D" w:rsidRPr="006579B5" w:rsidRDefault="007D0A2D" w:rsidP="007D0A2D">
      <w:pPr>
        <w:pStyle w:val="ListParagraph"/>
        <w:spacing w:before="120"/>
        <w:ind w:left="0" w:firstLine="0"/>
        <w:contextualSpacing w:val="0"/>
        <w:rPr>
          <w:b/>
        </w:rPr>
      </w:pPr>
      <w:r>
        <w:rPr>
          <w:b/>
        </w:rPr>
        <w:lastRenderedPageBreak/>
        <w:t>Problem 10-15</w:t>
      </w:r>
    </w:p>
    <w:p w:rsidR="007D0A2D" w:rsidRDefault="007D0A2D" w:rsidP="007D0A2D">
      <w:pPr>
        <w:pStyle w:val="ListParagraph"/>
        <w:ind w:left="0" w:firstLine="0"/>
        <w:rPr>
          <w:rFonts w:cs="Calibri"/>
        </w:rPr>
      </w:pPr>
      <w:r>
        <w:rPr>
          <w:rFonts w:cs="Calibri"/>
        </w:rPr>
        <w:t>Consider the data give in the problem 14.  Based on some preliminary information provided by BMW</w:t>
      </w:r>
      <w:proofErr w:type="gramStart"/>
      <w:r>
        <w:rPr>
          <w:rFonts w:cs="Calibri"/>
        </w:rPr>
        <w:t>,  Jan</w:t>
      </w:r>
      <w:proofErr w:type="gramEnd"/>
      <w:r>
        <w:rPr>
          <w:rFonts w:cs="Calibri"/>
        </w:rPr>
        <w:t xml:space="preserve"> King estimates that the following probabilities hold for the states of nature: P(Poor review)=.10. </w:t>
      </w:r>
      <w:proofErr w:type="gramStart"/>
      <w:r>
        <w:rPr>
          <w:rFonts w:cs="Calibri"/>
        </w:rPr>
        <w:t>P(</w:t>
      </w:r>
      <w:proofErr w:type="gramEnd"/>
      <w:r>
        <w:rPr>
          <w:rFonts w:cs="Calibri"/>
        </w:rPr>
        <w:t>Good review)=.15, P (Very Good Review) = .25, and P (Excellent review) = .35</w:t>
      </w:r>
    </w:p>
    <w:p w:rsidR="007D0A2D" w:rsidRDefault="007D0A2D" w:rsidP="007D0A2D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Calculate the probability of an Outstanding review and use the expected value criterion to determine how many SUV’s King’s should order</w:t>
      </w:r>
    </w:p>
    <w:p w:rsidR="007D0A2D" w:rsidRDefault="007D0A2D" w:rsidP="007D0A2D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What is the most amount of money King’s should pay for advance information regarding the review the SUV will get from Road and Track</w:t>
      </w:r>
    </w:p>
    <w:p w:rsidR="007D0A2D" w:rsidRPr="00F17836" w:rsidRDefault="007D0A2D" w:rsidP="007D0A2D">
      <w:pPr>
        <w:rPr>
          <w:rFonts w:cs="Calibri"/>
        </w:rPr>
      </w:pPr>
    </w:p>
    <w:p w:rsidR="007D0A2D" w:rsidRPr="006579B5" w:rsidRDefault="007D0A2D" w:rsidP="007D0A2D">
      <w:pPr>
        <w:pStyle w:val="ListParagraph"/>
        <w:spacing w:before="120"/>
        <w:ind w:left="0" w:firstLine="0"/>
        <w:contextualSpacing w:val="0"/>
        <w:rPr>
          <w:b/>
        </w:rPr>
      </w:pPr>
      <w:r>
        <w:rPr>
          <w:b/>
        </w:rPr>
        <w:t>Problem 10-16</w:t>
      </w:r>
    </w:p>
    <w:p w:rsidR="007D0A2D" w:rsidRDefault="007D0A2D" w:rsidP="007D0A2D">
      <w:pPr>
        <w:pStyle w:val="ListParagraph"/>
        <w:ind w:left="0" w:firstLine="0"/>
        <w:rPr>
          <w:rFonts w:cs="Calibri"/>
        </w:rPr>
      </w:pPr>
      <w:r>
        <w:rPr>
          <w:rFonts w:cs="Calibri"/>
        </w:rPr>
        <w:t xml:space="preserve">The dean of School of Business at Northern Connecticut State University </w:t>
      </w:r>
      <w:proofErr w:type="gramStart"/>
      <w:r>
        <w:rPr>
          <w:rFonts w:cs="Calibri"/>
        </w:rPr>
        <w:t>has been approached</w:t>
      </w:r>
      <w:proofErr w:type="gramEnd"/>
      <w:r>
        <w:rPr>
          <w:rFonts w:cs="Calibri"/>
        </w:rPr>
        <w:t xml:space="preserve"> by a government agency in Hunan Province, China, to provide MBA training to a group of 30 midlevel officials.  The dean is considering submitting a bid of $225,000, $250,000 or $300,000 for providing this program.  If the bid is $225,000, the dean estimates there is a 90% chance that the school will get the contract.  This probability decreases to .60 if the bid is $250,000 and .20 if the bid is $300,000.</w:t>
      </w:r>
    </w:p>
    <w:p w:rsidR="007D0A2D" w:rsidRDefault="007D0A2D" w:rsidP="007D0A2D">
      <w:pPr>
        <w:pStyle w:val="ListParagraph"/>
        <w:ind w:left="0" w:firstLine="0"/>
        <w:rPr>
          <w:rFonts w:cs="Calibri"/>
        </w:rPr>
      </w:pPr>
    </w:p>
    <w:p w:rsidR="007D0A2D" w:rsidRDefault="007D0A2D" w:rsidP="007D0A2D">
      <w:pPr>
        <w:pStyle w:val="ListParagraph"/>
        <w:ind w:left="0" w:firstLine="0"/>
        <w:rPr>
          <w:rFonts w:cs="Calibri"/>
        </w:rPr>
      </w:pPr>
      <w:r>
        <w:rPr>
          <w:rFonts w:cs="Calibri"/>
        </w:rPr>
        <w:t xml:space="preserve">Materials </w:t>
      </w:r>
      <w:proofErr w:type="gramStart"/>
      <w:r>
        <w:rPr>
          <w:rFonts w:cs="Calibri"/>
        </w:rPr>
        <w:t>are expected</w:t>
      </w:r>
      <w:proofErr w:type="gramEnd"/>
      <w:r>
        <w:rPr>
          <w:rFonts w:cs="Calibri"/>
        </w:rPr>
        <w:t xml:space="preserve"> to cost an average of $1,000 per participant.  The dean estimates that she will have to pay total faculty salaries of either $180,000 or $220,000.  There is a 40% chance that the faculty union will accept $180,000 and a 60% chance that the union will hold out for $220,000.  </w:t>
      </w:r>
    </w:p>
    <w:p w:rsidR="007D0A2D" w:rsidRDefault="007D0A2D" w:rsidP="007D0A2D">
      <w:pPr>
        <w:pStyle w:val="ListParagraph"/>
        <w:ind w:left="0" w:firstLine="0"/>
        <w:rPr>
          <w:rFonts w:cs="Calibri"/>
        </w:rPr>
      </w:pPr>
    </w:p>
    <w:p w:rsidR="007D0A2D" w:rsidRDefault="007D0A2D" w:rsidP="007D0A2D">
      <w:pPr>
        <w:pStyle w:val="ListParagraph"/>
        <w:ind w:left="0" w:firstLine="0"/>
        <w:rPr>
          <w:rFonts w:cs="Calibri"/>
        </w:rPr>
      </w:pPr>
      <w:r>
        <w:rPr>
          <w:rFonts w:cs="Calibri"/>
        </w:rPr>
        <w:t>Using a decision tree approach, determine the dean’s optimal strategy.</w:t>
      </w:r>
    </w:p>
    <w:p w:rsidR="008D2657" w:rsidRDefault="008D2657"/>
    <w:sectPr w:rsidR="008D2657" w:rsidSect="008D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90C"/>
    <w:multiLevelType w:val="hybridMultilevel"/>
    <w:tmpl w:val="D73EE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865"/>
    <w:multiLevelType w:val="hybridMultilevel"/>
    <w:tmpl w:val="4B8A3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A2D"/>
    <w:rsid w:val="007908A2"/>
    <w:rsid w:val="007D0A2D"/>
    <w:rsid w:val="008D2657"/>
    <w:rsid w:val="00B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2D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A2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A2D"/>
    <w:pPr>
      <w:spacing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Brennan</dc:creator>
  <cp:lastModifiedBy>Sean Brennan</cp:lastModifiedBy>
  <cp:revision>1</cp:revision>
  <dcterms:created xsi:type="dcterms:W3CDTF">2011-11-20T20:31:00Z</dcterms:created>
  <dcterms:modified xsi:type="dcterms:W3CDTF">2011-11-20T20:32:00Z</dcterms:modified>
</cp:coreProperties>
</file>