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Default Extension="gif" ContentType="image/gif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A4" w:rsidRDefault="009B0393" w:rsidP="009B0393">
      <w:r>
        <w:t xml:space="preserve">1. </w:t>
      </w:r>
      <w:r w:rsidR="00D82C02">
        <w:t>Prepare the December 31, 2009, stockholders’ equity section of the balance sheet assuming that the company reports net income of $72,000 for the year.</w:t>
      </w:r>
    </w:p>
    <w:p w:rsidR="00D82C02" w:rsidRDefault="00D82C02" w:rsidP="00D82C02">
      <w:pPr>
        <w:rPr>
          <w:noProof/>
        </w:rPr>
      </w:pPr>
      <w:r>
        <w:t>Paid-in capital</w:t>
      </w:r>
      <w:r>
        <w:br/>
        <w:t> 8% Preferred stock, $29 par value,</w:t>
      </w:r>
      <w:r>
        <w:br/>
        <w:t>    50,000 shares authorized, 5,000</w:t>
      </w:r>
      <w:r>
        <w:br/>
        <w:t>    shares issued and outstanding $</w:t>
      </w:r>
      <w:r>
        <w:tab/>
      </w:r>
      <w:r>
        <w:tab/>
      </w:r>
      <w:r>
        <w:rPr>
          <w:rStyle w:val="qtextfield"/>
        </w:rPr>
        <w:t xml:space="preserve"> </w:t>
      </w:r>
      <w:r>
        <w:rPr>
          <w:rStyle w:val="qtextfield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9.3pt;height:18pt" o:ole="">
            <v:imagedata r:id="rId5" o:title=""/>
          </v:shape>
          <w:control r:id="rId6" w:name="DefaultOcxName" w:shapeid="_x0000_i1079"/>
        </w:object>
      </w:r>
    </w:p>
    <w:p w:rsidR="00D82C02" w:rsidRPr="009B0393" w:rsidRDefault="00D82C02" w:rsidP="00D82C02">
      <w:pPr>
        <w:rPr>
          <w:noProof/>
          <w:u w:val="single"/>
        </w:rPr>
      </w:pPr>
      <w:r>
        <w:t> Common stock, $5 par value, 350,000</w:t>
      </w:r>
      <w:r>
        <w:br/>
        <w:t>    shares authorized; 160,000 shares</w:t>
      </w:r>
      <w:r>
        <w:br/>
        <w:t>    issued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9B0393">
        <w:rPr>
          <w:rStyle w:val="qtextfield"/>
          <w:u w:val="single"/>
        </w:rPr>
        <w:object w:dxaOrig="990" w:dyaOrig="360">
          <v:shape id="_x0000_i1078" type="#_x0000_t75" style="width:49.3pt;height:18pt" o:ole="">
            <v:imagedata r:id="rId7" o:title=""/>
          </v:shape>
          <w:control r:id="rId8" w:name="DefaultOcxName1" w:shapeid="_x0000_i1078"/>
        </w:object>
      </w:r>
      <w:r w:rsidRPr="009B0393">
        <w:rPr>
          <w:u w:val="single"/>
        </w:rPr>
        <w:t>$</w:t>
      </w:r>
      <w:r w:rsidRPr="009B0393">
        <w:rPr>
          <w:rStyle w:val="qtextfield"/>
          <w:u w:val="single"/>
        </w:rPr>
        <w:t xml:space="preserve"> </w:t>
      </w:r>
      <w:r w:rsidRPr="009B0393">
        <w:rPr>
          <w:rStyle w:val="qtextfield"/>
          <w:u w:val="single"/>
        </w:rPr>
        <w:object w:dxaOrig="990" w:dyaOrig="360">
          <v:shape id="_x0000_i1077" type="#_x0000_t75" style="width:49.3pt;height:18pt" o:ole="">
            <v:imagedata r:id="rId9" o:title=""/>
          </v:shape>
          <w:control r:id="rId10" w:name="DefaultOcxName2" w:shapeid="_x0000_i1077"/>
        </w:object>
      </w:r>
    </w:p>
    <w:p w:rsidR="00D82C02" w:rsidRDefault="00D82C02" w:rsidP="009B0393">
      <w:pPr>
        <w:spacing w:after="0" w:line="240" w:lineRule="auto"/>
      </w:pPr>
      <w:r>
        <w:t> Additional paid-in capital</w:t>
      </w:r>
      <w:r>
        <w:br/>
        <w:t>    Paid-in capital in excess of par</w:t>
      </w:r>
    </w:p>
    <w:p w:rsidR="00D82C02" w:rsidRDefault="00D82C02" w:rsidP="009B0393">
      <w:pPr>
        <w:spacing w:after="0" w:line="240" w:lineRule="auto"/>
        <w:rPr>
          <w:noProof/>
        </w:rPr>
      </w:pPr>
      <w:r>
        <w:t>        </w:t>
      </w:r>
      <w:proofErr w:type="gramStart"/>
      <w:r>
        <w:t>value-preferred</w:t>
      </w:r>
      <w:proofErr w:type="gramEnd"/>
      <w:r>
        <w:t xml:space="preserve"> stock</w:t>
      </w:r>
      <w:r>
        <w:tab/>
      </w:r>
      <w:r>
        <w:tab/>
      </w:r>
      <w:r>
        <w:tab/>
      </w:r>
      <w:r w:rsidRPr="005260EC">
        <w:rPr>
          <w:rStyle w:val="qtextfield"/>
          <w:color w:val="FF0000"/>
          <w:highlight w:val="red"/>
        </w:rPr>
        <w:object w:dxaOrig="990" w:dyaOrig="360">
          <v:shape id="_x0000_i1836" type="#_x0000_t75" style="width:49.3pt;height:18pt" o:ole="">
            <v:imagedata r:id="rId11" o:title=""/>
          </v:shape>
          <w:control r:id="rId12" w:name="DefaultOcxName3" w:shapeid="_x0000_i1836"/>
        </w:object>
      </w:r>
    </w:p>
    <w:p w:rsidR="009B0393" w:rsidRDefault="009B0393" w:rsidP="00D82C02"/>
    <w:p w:rsidR="00D82C02" w:rsidRDefault="00D82C02" w:rsidP="00D82C02">
      <w:pPr>
        <w:rPr>
          <w:noProof/>
        </w:rPr>
      </w:pPr>
      <w:r>
        <w:t> Paid-in capital in excess of par</w:t>
      </w:r>
      <w:r>
        <w:br/>
        <w:t> value-common stock</w:t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qtextfield"/>
        </w:rPr>
        <w:object w:dxaOrig="990" w:dyaOrig="360">
          <v:shape id="_x0000_i1088" type="#_x0000_t75" style="width:49.3pt;height:18pt" o:ole="">
            <v:imagedata r:id="rId13" o:title=""/>
          </v:shape>
          <w:control r:id="rId14" w:name="DefaultOcxName4" w:shapeid="_x0000_i1088"/>
        </w:object>
      </w:r>
    </w:p>
    <w:p w:rsidR="00D82C02" w:rsidRDefault="00D82C02" w:rsidP="00D82C02">
      <w:pPr>
        <w:rPr>
          <w:noProof/>
        </w:rPr>
      </w:pPr>
      <w:r>
        <w:t> Paid-in capital from treasury stock</w:t>
      </w:r>
      <w:r>
        <w:tab/>
      </w:r>
      <w:r>
        <w:tab/>
      </w:r>
      <w:r w:rsidRPr="009B0393">
        <w:rPr>
          <w:u w:val="single"/>
        </w:rPr>
        <w:t xml:space="preserve"> </w:t>
      </w:r>
      <w:r w:rsidRPr="005260EC">
        <w:rPr>
          <w:rStyle w:val="qtextfield"/>
          <w:highlight w:val="red"/>
          <w:u w:val="single"/>
        </w:rPr>
        <w:object w:dxaOrig="990" w:dyaOrig="360">
          <v:shape id="_x0000_i1089" type="#_x0000_t75" style="width:49.3pt;height:18pt" o:ole="">
            <v:imagedata r:id="rId11" o:title=""/>
          </v:shape>
          <w:control r:id="rId15" w:name="DefaultOcxName5" w:shapeid="_x0000_i1089"/>
        </w:object>
      </w:r>
      <w:r w:rsidRPr="005260EC">
        <w:rPr>
          <w:rStyle w:val="qtextfield"/>
          <w:highlight w:val="red"/>
          <w:u w:val="single"/>
        </w:rPr>
        <w:tab/>
      </w:r>
      <w:r w:rsidRPr="005260EC">
        <w:rPr>
          <w:rStyle w:val="qtextfield"/>
          <w:highlight w:val="red"/>
          <w:u w:val="single"/>
        </w:rPr>
        <w:object w:dxaOrig="990" w:dyaOrig="360">
          <v:shape id="_x0000_i1116" type="#_x0000_t75" style="width:49.3pt;height:18pt" o:ole="">
            <v:imagedata r:id="rId11" o:title=""/>
          </v:shape>
          <w:control r:id="rId16" w:name="DefaultOcxName6" w:shapeid="_x0000_i1116"/>
        </w:object>
      </w:r>
      <w:r>
        <w:rPr>
          <w:rStyle w:val="qtextfield"/>
        </w:rPr>
        <w:tab/>
      </w:r>
    </w:p>
    <w:p w:rsidR="00D82C02" w:rsidRDefault="00D82C02" w:rsidP="00D82C02">
      <w:pPr>
        <w:rPr>
          <w:noProof/>
        </w:rPr>
      </w:pPr>
      <w:r>
        <w:t> Total paid-in capital</w:t>
      </w:r>
      <w:r>
        <w:tab/>
      </w:r>
      <w:r>
        <w:tab/>
      </w:r>
      <w:r>
        <w:tab/>
      </w:r>
      <w:r>
        <w:tab/>
      </w:r>
      <w:r w:rsidRPr="005260EC">
        <w:rPr>
          <w:rStyle w:val="qtextfield"/>
          <w:highlight w:val="red"/>
        </w:rPr>
        <w:object w:dxaOrig="990" w:dyaOrig="360">
          <v:shape id="_x0000_i1840" type="#_x0000_t75" style="width:49.3pt;height:18pt" o:ole="">
            <v:imagedata r:id="rId11" o:title=""/>
          </v:shape>
          <w:control r:id="rId17" w:name="DefaultOcxName7" w:shapeid="_x0000_i1840"/>
        </w:object>
      </w:r>
    </w:p>
    <w:p w:rsidR="00D82C02" w:rsidRPr="009B0393" w:rsidRDefault="00D82C02" w:rsidP="00D82C02">
      <w:pPr>
        <w:rPr>
          <w:rStyle w:val="qtextfield"/>
          <w:u w:val="single"/>
        </w:rPr>
      </w:pPr>
      <w:r>
        <w:t>Retained earnings</w:t>
      </w:r>
      <w:r>
        <w:tab/>
      </w:r>
      <w:r>
        <w:tab/>
      </w:r>
      <w:r>
        <w:tab/>
      </w:r>
      <w:r>
        <w:tab/>
      </w:r>
      <w:r w:rsidRPr="009B0393">
        <w:rPr>
          <w:u w:val="single"/>
        </w:rPr>
        <w:t xml:space="preserve"> </w:t>
      </w:r>
      <w:r w:rsidRPr="005260EC">
        <w:rPr>
          <w:rStyle w:val="qtextfield"/>
          <w:highlight w:val="red"/>
          <w:u w:val="single"/>
        </w:rPr>
        <w:object w:dxaOrig="990" w:dyaOrig="360">
          <v:shape id="_x0000_i1843" type="#_x0000_t75" style="width:49.3pt;height:18pt" o:ole="">
            <v:imagedata r:id="rId11" o:title=""/>
          </v:shape>
          <w:control r:id="rId18" w:name="DefaultOcxName8" w:shapeid="_x0000_i1843"/>
        </w:object>
      </w:r>
    </w:p>
    <w:p w:rsidR="00D82C02" w:rsidRPr="005260EC" w:rsidRDefault="00D82C02" w:rsidP="00D82C02">
      <w:pPr>
        <w:ind w:left="3600" w:firstLine="720"/>
        <w:rPr>
          <w:noProof/>
          <w:color w:val="FF0000"/>
        </w:rPr>
      </w:pPr>
      <w:r w:rsidRPr="005260EC">
        <w:rPr>
          <w:rStyle w:val="qtextfield"/>
        </w:rPr>
        <w:object w:dxaOrig="990" w:dyaOrig="360">
          <v:shape id="_x0000_i1863" type="#_x0000_t75" style="width:49.3pt;height:18pt" o:ole="">
            <v:imagedata r:id="rId11" o:title=""/>
          </v:shape>
          <w:control r:id="rId19" w:name="DefaultOcxName9" w:shapeid="_x0000_i1863"/>
        </w:object>
      </w:r>
    </w:p>
    <w:p w:rsidR="00D82C02" w:rsidRPr="009B0393" w:rsidRDefault="00D82C02" w:rsidP="00D82C02">
      <w:pPr>
        <w:rPr>
          <w:noProof/>
          <w:u w:val="single"/>
        </w:rPr>
      </w:pPr>
      <w:r>
        <w:t>Less: Treasury stock (2,500 shares) at cost</w:t>
      </w:r>
      <w:r>
        <w:tab/>
        <w:t xml:space="preserve"> </w:t>
      </w:r>
      <w:r w:rsidRPr="005260EC">
        <w:rPr>
          <w:rStyle w:val="qtextfield"/>
          <w:highlight w:val="red"/>
          <w:u w:val="single"/>
        </w:rPr>
        <w:object w:dxaOrig="990" w:dyaOrig="360">
          <v:shape id="_x0000_i1103" type="#_x0000_t75" style="width:49.3pt;height:18pt" o:ole="">
            <v:imagedata r:id="rId11" o:title=""/>
          </v:shape>
          <w:control r:id="rId20" w:name="DefaultOcxName10" w:shapeid="_x0000_i1103"/>
        </w:object>
      </w:r>
    </w:p>
    <w:p w:rsidR="00D82C02" w:rsidRDefault="00D82C02" w:rsidP="00D82C02">
      <w:pPr>
        <w:rPr>
          <w:rStyle w:val="qtextfield"/>
        </w:rPr>
      </w:pPr>
      <w:r>
        <w:t>Total Stockholders' Equity</w:t>
      </w:r>
      <w:r w:rsidR="009B0393">
        <w:t>$</w:t>
      </w:r>
      <w:r w:rsidR="009B0393">
        <w:tab/>
      </w:r>
      <w:r w:rsidR="009B0393">
        <w:tab/>
      </w:r>
      <w:r w:rsidR="009B0393">
        <w:tab/>
      </w:r>
      <w:r w:rsidR="009B0393">
        <w:rPr>
          <w:rStyle w:val="qtextfield"/>
        </w:rPr>
        <w:t xml:space="preserve"> </w:t>
      </w:r>
      <w:r w:rsidR="009B0393" w:rsidRPr="005260EC">
        <w:rPr>
          <w:rStyle w:val="qtextfield"/>
          <w:highlight w:val="red"/>
        </w:rPr>
        <w:object w:dxaOrig="990" w:dyaOrig="360">
          <v:shape id="_x0000_i1110" type="#_x0000_t75" style="width:49.3pt;height:18pt" o:ole="">
            <v:imagedata r:id="rId11" o:title=""/>
          </v:shape>
          <w:control r:id="rId21" w:name="DefaultOcxName11" w:shapeid="_x0000_i1110"/>
        </w:object>
      </w:r>
    </w:p>
    <w:p w:rsidR="009B0393" w:rsidRDefault="009B0393" w:rsidP="00D82C02">
      <w:pPr>
        <w:rPr>
          <w:rStyle w:val="qtextfield"/>
        </w:rPr>
      </w:pPr>
    </w:p>
    <w:p w:rsidR="009B0393" w:rsidRDefault="009B0393" w:rsidP="00D82C02">
      <w:pPr>
        <w:rPr>
          <w:rStyle w:val="qtextfield"/>
        </w:rPr>
      </w:pPr>
    </w:p>
    <w:p w:rsidR="009B0393" w:rsidRDefault="009B0393" w:rsidP="00D82C02">
      <w:pPr>
        <w:rPr>
          <w:rStyle w:val="qtextfield"/>
        </w:rPr>
      </w:pPr>
    </w:p>
    <w:p w:rsidR="009B0393" w:rsidRDefault="009B0393" w:rsidP="00D82C02">
      <w:pPr>
        <w:rPr>
          <w:rStyle w:val="qtextfield"/>
        </w:rPr>
      </w:pPr>
    </w:p>
    <w:p w:rsidR="009B0393" w:rsidRDefault="009B0393" w:rsidP="00D82C02">
      <w:pPr>
        <w:rPr>
          <w:rStyle w:val="qtextfield"/>
        </w:rPr>
      </w:pPr>
    </w:p>
    <w:p w:rsidR="009B0393" w:rsidRPr="009B0393" w:rsidRDefault="009B0393" w:rsidP="009B03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qtextfield"/>
        </w:rPr>
        <w:lastRenderedPageBreak/>
        <w:t>2.</w:t>
      </w:r>
      <w:r w:rsidRPr="009B0393">
        <w:rPr>
          <w:b/>
          <w:bCs/>
        </w:rPr>
        <w:t xml:space="preserve"> </w:t>
      </w:r>
      <w:r w:rsidRPr="009B0393">
        <w:rPr>
          <w:rFonts w:ascii="Times New Roman" w:eastAsia="Times New Roman" w:hAnsi="Times New Roman" w:cs="Times New Roman"/>
          <w:b/>
          <w:bCs/>
          <w:sz w:val="24"/>
          <w:szCs w:val="24"/>
        </w:rPr>
        <w:t>Identifying and Analyzing Financial Statement Effects of Dividends</w:t>
      </w:r>
      <w:r w:rsidRPr="009B0393">
        <w:rPr>
          <w:rFonts w:ascii="Times New Roman" w:eastAsia="Times New Roman" w:hAnsi="Times New Roman" w:cs="Times New Roman"/>
          <w:sz w:val="24"/>
          <w:szCs w:val="24"/>
        </w:rPr>
        <w:br/>
        <w:t xml:space="preserve">The stockholders' equity of Kinney Company at December 31, 2008, is shown below.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7"/>
        <w:gridCol w:w="300"/>
        <w:gridCol w:w="1275"/>
      </w:tblGrid>
      <w:tr w:rsidR="009B0393" w:rsidRPr="009B0393" w:rsidTr="009B0393">
        <w:trPr>
          <w:tblCellSpacing w:w="15" w:type="dxa"/>
        </w:trPr>
        <w:tc>
          <w:tcPr>
            <w:tcW w:w="0" w:type="auto"/>
            <w:vAlign w:val="bottom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>5% preferred stock, $100 par value, 28,000 shares authorized;</w:t>
            </w: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13,000 shares issued and outstanding </w:t>
            </w:r>
          </w:p>
        </w:tc>
        <w:tc>
          <w:tcPr>
            <w:tcW w:w="0" w:type="auto"/>
            <w:vAlign w:val="bottom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0" w:type="auto"/>
            <w:vAlign w:val="bottom"/>
            <w:hideMark/>
          </w:tcPr>
          <w:p w:rsidR="009B0393" w:rsidRPr="009B0393" w:rsidRDefault="009B0393" w:rsidP="009B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  1,300,000 </w:t>
            </w:r>
          </w:p>
        </w:tc>
      </w:tr>
      <w:tr w:rsidR="009B0393" w:rsidRPr="009B0393" w:rsidTr="009B0393">
        <w:trPr>
          <w:tblCellSpacing w:w="15" w:type="dxa"/>
        </w:trPr>
        <w:tc>
          <w:tcPr>
            <w:tcW w:w="0" w:type="auto"/>
            <w:vAlign w:val="bottom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>Common stock, $5 par value, 80,000 shares authorized;</w:t>
            </w: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20,000 shares issued and outstanding </w:t>
            </w:r>
          </w:p>
        </w:tc>
        <w:tc>
          <w:tcPr>
            <w:tcW w:w="0" w:type="auto"/>
            <w:vAlign w:val="bottom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B0393" w:rsidRPr="009B0393" w:rsidRDefault="009B0393" w:rsidP="009B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100,000 </w:t>
            </w:r>
          </w:p>
        </w:tc>
      </w:tr>
      <w:tr w:rsidR="009B0393" w:rsidRPr="009B0393" w:rsidTr="009B0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Paid-in capital in excess of par value—preferred stock </w:t>
            </w:r>
          </w:p>
        </w:tc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40,000 </w:t>
            </w:r>
          </w:p>
        </w:tc>
      </w:tr>
      <w:tr w:rsidR="009B0393" w:rsidRPr="009B0393" w:rsidTr="009B0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Paid-in capital in excess of par value—common stock </w:t>
            </w:r>
          </w:p>
        </w:tc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120,000 </w:t>
            </w:r>
          </w:p>
        </w:tc>
      </w:tr>
      <w:tr w:rsidR="009B0393" w:rsidRPr="009B0393" w:rsidTr="009B0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Retained earnings </w:t>
            </w:r>
          </w:p>
        </w:tc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656,000 </w:t>
            </w:r>
          </w:p>
        </w:tc>
      </w:tr>
      <w:tr w:rsidR="009B0393" w:rsidRPr="009B0393" w:rsidTr="009B0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stockholders' equity </w:t>
            </w:r>
          </w:p>
        </w:tc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$2,216,000 </w:t>
            </w:r>
          </w:p>
        </w:tc>
      </w:tr>
    </w:tbl>
    <w:p w:rsidR="009B0393" w:rsidRPr="009B0393" w:rsidRDefault="009B0393" w:rsidP="009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393">
        <w:rPr>
          <w:rFonts w:ascii="Times New Roman" w:eastAsia="Times New Roman" w:hAnsi="Times New Roman" w:cs="Times New Roman"/>
          <w:sz w:val="24"/>
          <w:szCs w:val="24"/>
        </w:rPr>
        <w:br/>
        <w:t xml:space="preserve">The following transactions, among others, occurred during 2009: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8145"/>
      </w:tblGrid>
      <w:tr w:rsidR="009B0393" w:rsidRPr="009B0393" w:rsidTr="009B0393">
        <w:trPr>
          <w:tblCellSpacing w:w="15" w:type="dxa"/>
        </w:trPr>
        <w:tc>
          <w:tcPr>
            <w:tcW w:w="1260" w:type="dxa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Apr. 1 </w:t>
            </w:r>
          </w:p>
        </w:tc>
        <w:tc>
          <w:tcPr>
            <w:tcW w:w="8100" w:type="dxa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Declared and issued a 100% stock dividend on all outstanding shares of common stock. The market value of the stock was $11 per share. </w:t>
            </w:r>
          </w:p>
        </w:tc>
      </w:tr>
      <w:tr w:rsidR="009B0393" w:rsidRPr="009B0393" w:rsidTr="009B0393">
        <w:trPr>
          <w:tblCellSpacing w:w="15" w:type="dxa"/>
        </w:trPr>
        <w:tc>
          <w:tcPr>
            <w:tcW w:w="1260" w:type="dxa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7 </w:t>
            </w:r>
          </w:p>
        </w:tc>
        <w:tc>
          <w:tcPr>
            <w:tcW w:w="8100" w:type="dxa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Declared and issued a 4% stock dividend on all outstanding shares of common stock. The market value of the stock was $14 per share. </w:t>
            </w:r>
          </w:p>
        </w:tc>
      </w:tr>
      <w:tr w:rsidR="009B0393" w:rsidRPr="009B0393" w:rsidTr="009B0393">
        <w:trPr>
          <w:tblCellSpacing w:w="15" w:type="dxa"/>
        </w:trPr>
        <w:tc>
          <w:tcPr>
            <w:tcW w:w="1260" w:type="dxa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8100" w:type="dxa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Declared and paid (1) the annual cash dividend on the preferred stock and (2) a cash dividend of 80 cents per common share. </w:t>
            </w:r>
          </w:p>
        </w:tc>
      </w:tr>
    </w:tbl>
    <w:p w:rsidR="009B0393" w:rsidRDefault="009B0393" w:rsidP="009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393" w:rsidRPr="009B0393" w:rsidRDefault="009B0393" w:rsidP="009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393">
        <w:rPr>
          <w:rFonts w:ascii="Times New Roman" w:eastAsia="Times New Roman" w:hAnsi="Times New Roman" w:cs="Times New Roman"/>
          <w:sz w:val="24"/>
          <w:szCs w:val="24"/>
        </w:rPr>
        <w:t xml:space="preserve">(a) Use the financial statement effects template to indicate the effects of these separate transactions. </w:t>
      </w:r>
      <w:r w:rsidRPr="009B0393">
        <w:rPr>
          <w:rFonts w:ascii="Times New Roman" w:eastAsia="Times New Roman" w:hAnsi="Times New Roman" w:cs="Times New Roman"/>
          <w:b/>
          <w:bCs/>
          <w:sz w:val="24"/>
          <w:szCs w:val="24"/>
        </w:rPr>
        <w:t>(You MUST enter the number "0", the number zero, in all cells that should be BLANK.)</w:t>
      </w:r>
      <w:r w:rsidRPr="009B0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2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440"/>
        <w:gridCol w:w="218"/>
        <w:gridCol w:w="123"/>
        <w:gridCol w:w="30"/>
        <w:gridCol w:w="50"/>
        <w:gridCol w:w="671"/>
        <w:gridCol w:w="70"/>
        <w:gridCol w:w="30"/>
        <w:gridCol w:w="50"/>
        <w:gridCol w:w="709"/>
        <w:gridCol w:w="145"/>
        <w:gridCol w:w="81"/>
        <w:gridCol w:w="80"/>
        <w:gridCol w:w="850"/>
        <w:gridCol w:w="167"/>
        <w:gridCol w:w="79"/>
        <w:gridCol w:w="80"/>
        <w:gridCol w:w="631"/>
        <w:gridCol w:w="80"/>
        <w:gridCol w:w="79"/>
        <w:gridCol w:w="80"/>
        <w:gridCol w:w="1080"/>
        <w:gridCol w:w="159"/>
        <w:gridCol w:w="87"/>
        <w:gridCol w:w="159"/>
        <w:gridCol w:w="1080"/>
        <w:gridCol w:w="159"/>
        <w:gridCol w:w="87"/>
        <w:gridCol w:w="159"/>
        <w:gridCol w:w="1205"/>
        <w:gridCol w:w="211"/>
      </w:tblGrid>
      <w:tr w:rsidR="009B0393" w:rsidRPr="009B0393" w:rsidTr="005260EC">
        <w:trPr>
          <w:gridAfter w:val="1"/>
          <w:wAfter w:w="166" w:type="dxa"/>
          <w:tblCellSpacing w:w="15" w:type="dxa"/>
        </w:trPr>
        <w:tc>
          <w:tcPr>
            <w:tcW w:w="888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4" w:type="dxa"/>
            <w:gridSpan w:val="17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Balance Sheet</w:t>
            </w:r>
            <w:r w:rsidRPr="009B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623175" cy="10160"/>
                  <wp:effectExtent l="19050" t="0" r="0" b="0"/>
                  <wp:docPr id="97" name="Picture 97" descr="http://www.webassign.net/images/black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webassign.net/images/black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17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noWrap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11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 Statement</w:t>
            </w:r>
            <w:r w:rsidRPr="009B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623175" cy="10160"/>
                  <wp:effectExtent l="19050" t="0" r="0" b="0"/>
                  <wp:docPr id="98" name="Picture 98" descr="http://www.webassign.net/images/black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webassign.net/images/black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17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0EC" w:rsidRPr="009B0393" w:rsidTr="005260EC">
        <w:trPr>
          <w:tblCellSpacing w:w="15" w:type="dxa"/>
        </w:trPr>
        <w:tc>
          <w:tcPr>
            <w:tcW w:w="448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Transaction </w:t>
            </w:r>
          </w:p>
        </w:tc>
        <w:tc>
          <w:tcPr>
            <w:tcW w:w="751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Cash Asset </w:t>
            </w:r>
          </w:p>
        </w:tc>
        <w:tc>
          <w:tcPr>
            <w:tcW w:w="50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+ </w:t>
            </w:r>
          </w:p>
        </w:tc>
        <w:tc>
          <w:tcPr>
            <w:tcW w:w="641" w:type="dxa"/>
            <w:vAlign w:val="center"/>
            <w:hideMark/>
          </w:tcPr>
          <w:p w:rsidR="009B0393" w:rsidRPr="005260EC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6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Noncash Assets 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= </w:t>
            </w:r>
          </w:p>
        </w:tc>
        <w:tc>
          <w:tcPr>
            <w:tcW w:w="955" w:type="dxa"/>
            <w:gridSpan w:val="4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Liabilities </w:t>
            </w:r>
          </w:p>
        </w:tc>
        <w:tc>
          <w:tcPr>
            <w:tcW w:w="50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+ </w:t>
            </w:r>
          </w:p>
        </w:tc>
        <w:tc>
          <w:tcPr>
            <w:tcW w:w="1066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Contributed Capital </w:t>
            </w:r>
          </w:p>
        </w:tc>
        <w:tc>
          <w:tcPr>
            <w:tcW w:w="50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+ </w:t>
            </w:r>
          </w:p>
        </w:tc>
        <w:tc>
          <w:tcPr>
            <w:tcW w:w="760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Earned Capital </w:t>
            </w:r>
          </w:p>
        </w:tc>
        <w:tc>
          <w:tcPr>
            <w:tcW w:w="50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Revenues </w:t>
            </w:r>
          </w:p>
        </w:tc>
        <w:tc>
          <w:tcPr>
            <w:tcW w:w="216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− 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Expenses </w:t>
            </w:r>
          </w:p>
        </w:tc>
        <w:tc>
          <w:tcPr>
            <w:tcW w:w="216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= </w:t>
            </w:r>
          </w:p>
        </w:tc>
        <w:tc>
          <w:tcPr>
            <w:tcW w:w="1371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0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Net Income </w:t>
            </w:r>
          </w:p>
        </w:tc>
      </w:tr>
      <w:tr w:rsidR="009B0393" w:rsidRPr="009B0393" w:rsidTr="005260EC">
        <w:trPr>
          <w:gridAfter w:val="1"/>
          <w:wAfter w:w="166" w:type="dxa"/>
          <w:tblCellSpacing w:w="15" w:type="dxa"/>
        </w:trPr>
        <w:tc>
          <w:tcPr>
            <w:tcW w:w="448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Apr. 1 </w:t>
            </w:r>
          </w:p>
        </w:tc>
        <w:tc>
          <w:tcPr>
            <w:tcW w:w="628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85" type="#_x0000_t75" style="width:61.05pt;height:18pt" o:ole="">
                  <v:imagedata r:id="rId23" o:title=""/>
                </v:shape>
                <w:control r:id="rId24" w:name="DefaultOcxName26" w:shapeid="_x0000_i1585"/>
              </w:object>
            </w:r>
          </w:p>
        </w:tc>
        <w:tc>
          <w:tcPr>
            <w:tcW w:w="123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799" type="#_x0000_t75" style="width:61.05pt;height:18pt" o:ole="">
                  <v:imagedata r:id="rId25" o:title=""/>
                </v:shape>
                <w:control r:id="rId26" w:name="DefaultOcxName110" w:shapeid="_x0000_i1799"/>
              </w:object>
            </w:r>
          </w:p>
        </w:tc>
        <w:tc>
          <w:tcPr>
            <w:tcW w:w="50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679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800" type="#_x0000_t75" style="width:61.05pt;height:18pt" o:ole="">
                  <v:imagedata r:id="rId27" o:title=""/>
                </v:shape>
                <w:control r:id="rId28" w:name="DefaultOcxName25" w:shapeid="_x0000_i1800"/>
              </w:object>
            </w:r>
          </w:p>
        </w:tc>
        <w:tc>
          <w:tcPr>
            <w:tcW w:w="115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791" type="#_x0000_t75" style="width:61.05pt;height:18pt" o:ole="">
                  <v:imagedata r:id="rId29" o:title=""/>
                </v:shape>
                <w:control r:id="rId30" w:name="DefaultOcxName31" w:shapeid="_x0000_i1791"/>
              </w:object>
            </w:r>
          </w:p>
        </w:tc>
        <w:tc>
          <w:tcPr>
            <w:tcW w:w="137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79" type="#_x0000_t75" style="width:61.05pt;height:18pt" o:ole="">
                  <v:imagedata r:id="rId31" o:title=""/>
                </v:shape>
                <w:control r:id="rId32" w:name="DefaultOcxName41" w:shapeid="_x0000_i1579"/>
              </w:object>
            </w:r>
          </w:p>
        </w:tc>
        <w:tc>
          <w:tcPr>
            <w:tcW w:w="50" w:type="dxa"/>
            <w:vMerge w:val="restart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801" type="#_x0000_t75" style="width:61.05pt;height:18pt" o:ole="">
                  <v:imagedata r:id="rId33" o:title=""/>
                </v:shape>
                <w:control r:id="rId34" w:name="DefaultOcxName51" w:shapeid="_x0000_i1801"/>
              </w:object>
            </w:r>
          </w:p>
        </w:tc>
        <w:tc>
          <w:tcPr>
            <w:tcW w:w="216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77" type="#_x0000_t75" style="width:61.05pt;height:18pt" o:ole="">
                  <v:imagedata r:id="rId35" o:title=""/>
                </v:shape>
                <w:control r:id="rId36" w:name="DefaultOcxName61" w:shapeid="_x0000_i1577"/>
              </w:object>
            </w:r>
          </w:p>
        </w:tc>
        <w:tc>
          <w:tcPr>
            <w:tcW w:w="216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76" type="#_x0000_t75" style="width:61.05pt;height:18pt" o:ole="">
                  <v:imagedata r:id="rId37" o:title=""/>
                </v:shape>
                <w:control r:id="rId38" w:name="DefaultOcxName71" w:shapeid="_x0000_i1576"/>
              </w:object>
            </w:r>
          </w:p>
        </w:tc>
      </w:tr>
      <w:tr w:rsidR="009B0393" w:rsidRPr="009B0393" w:rsidTr="005260EC">
        <w:trPr>
          <w:gridAfter w:val="1"/>
          <w:wAfter w:w="166" w:type="dxa"/>
          <w:tblCellSpacing w:w="15" w:type="dxa"/>
        </w:trPr>
        <w:tc>
          <w:tcPr>
            <w:tcW w:w="448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7 </w:t>
            </w:r>
          </w:p>
        </w:tc>
        <w:tc>
          <w:tcPr>
            <w:tcW w:w="628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75" type="#_x0000_t75" style="width:61.05pt;height:18pt" o:ole="">
                  <v:imagedata r:id="rId39" o:title=""/>
                </v:shape>
                <w:control r:id="rId40" w:name="DefaultOcxName81" w:shapeid="_x0000_i1575"/>
              </w:object>
            </w:r>
          </w:p>
        </w:tc>
        <w:tc>
          <w:tcPr>
            <w:tcW w:w="123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796" type="#_x0000_t75" style="width:61.05pt;height:18pt" o:ole="">
                  <v:imagedata r:id="rId41" o:title=""/>
                </v:shape>
                <w:control r:id="rId42" w:name="DefaultOcxName91" w:shapeid="_x0000_i1796"/>
              </w:object>
            </w:r>
          </w:p>
        </w:tc>
        <w:tc>
          <w:tcPr>
            <w:tcW w:w="50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679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798" type="#_x0000_t75" style="width:61.05pt;height:18pt" o:ole="">
                  <v:imagedata r:id="rId43" o:title=""/>
                </v:shape>
                <w:control r:id="rId44" w:name="DefaultOcxName101" w:shapeid="_x0000_i1798"/>
              </w:object>
            </w:r>
          </w:p>
        </w:tc>
        <w:tc>
          <w:tcPr>
            <w:tcW w:w="115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794" type="#_x0000_t75" style="width:61.05pt;height:18pt" o:ole="">
                  <v:imagedata r:id="rId45" o:title=""/>
                </v:shape>
                <w:control r:id="rId46" w:name="DefaultOcxName111" w:shapeid="_x0000_i1794"/>
              </w:object>
            </w:r>
          </w:p>
        </w:tc>
        <w:tc>
          <w:tcPr>
            <w:tcW w:w="137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71" type="#_x0000_t75" style="width:61.05pt;height:18pt" o:ole="">
                  <v:imagedata r:id="rId47" o:title=""/>
                </v:shape>
                <w:control r:id="rId48" w:name="DefaultOcxName12" w:shapeid="_x0000_i1571"/>
              </w:object>
            </w:r>
          </w:p>
        </w:tc>
        <w:tc>
          <w:tcPr>
            <w:tcW w:w="50" w:type="dxa"/>
            <w:vMerge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802" type="#_x0000_t75" style="width:61.05pt;height:18pt" o:ole="">
                  <v:imagedata r:id="rId49" o:title=""/>
                </v:shape>
                <w:control r:id="rId50" w:name="DefaultOcxName13" w:shapeid="_x0000_i1802"/>
              </w:object>
            </w:r>
          </w:p>
        </w:tc>
        <w:tc>
          <w:tcPr>
            <w:tcW w:w="216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69" type="#_x0000_t75" style="width:61.05pt;height:18pt" o:ole="">
                  <v:imagedata r:id="rId51" o:title=""/>
                </v:shape>
                <w:control r:id="rId52" w:name="DefaultOcxName14" w:shapeid="_x0000_i1569"/>
              </w:object>
            </w:r>
          </w:p>
        </w:tc>
        <w:tc>
          <w:tcPr>
            <w:tcW w:w="216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68" type="#_x0000_t75" style="width:61.05pt;height:18pt" o:ole="">
                  <v:imagedata r:id="rId53" o:title=""/>
                </v:shape>
                <w:control r:id="rId54" w:name="DefaultOcxName15" w:shapeid="_x0000_i1568"/>
              </w:object>
            </w:r>
          </w:p>
        </w:tc>
      </w:tr>
      <w:tr w:rsidR="009B0393" w:rsidRPr="009B0393" w:rsidTr="005260EC">
        <w:trPr>
          <w:gridAfter w:val="1"/>
          <w:wAfter w:w="166" w:type="dxa"/>
          <w:tblCellSpacing w:w="15" w:type="dxa"/>
        </w:trPr>
        <w:tc>
          <w:tcPr>
            <w:tcW w:w="448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20 </w:t>
            </w:r>
          </w:p>
        </w:tc>
        <w:tc>
          <w:tcPr>
            <w:tcW w:w="628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67" type="#_x0000_t75" style="width:61.05pt;height:18pt" o:ole="">
                  <v:imagedata r:id="rId55" o:title=""/>
                </v:shape>
                <w:control r:id="rId56" w:name="DefaultOcxName16" w:shapeid="_x0000_i1567"/>
              </w:object>
            </w:r>
          </w:p>
        </w:tc>
        <w:tc>
          <w:tcPr>
            <w:tcW w:w="123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806" type="#_x0000_t75" style="width:61.05pt;height:18pt" o:ole="">
                  <v:imagedata r:id="rId57" o:title=""/>
                </v:shape>
                <w:control r:id="rId58" w:name="DefaultOcxName17" w:shapeid="_x0000_i1806"/>
              </w:object>
            </w:r>
          </w:p>
        </w:tc>
        <w:tc>
          <w:tcPr>
            <w:tcW w:w="50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679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805" type="#_x0000_t75" style="width:61.05pt;height:18pt" o:ole="">
                  <v:imagedata r:id="rId59" o:title=""/>
                </v:shape>
                <w:control r:id="rId60" w:name="DefaultOcxName18" w:shapeid="_x0000_i1805"/>
              </w:object>
            </w:r>
          </w:p>
        </w:tc>
        <w:tc>
          <w:tcPr>
            <w:tcW w:w="115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804" type="#_x0000_t75" style="width:61.05pt;height:18pt" o:ole="">
                  <v:imagedata r:id="rId61" o:title=""/>
                </v:shape>
                <w:control r:id="rId62" w:name="DefaultOcxName19" w:shapeid="_x0000_i1804"/>
              </w:object>
            </w:r>
          </w:p>
        </w:tc>
        <w:tc>
          <w:tcPr>
            <w:tcW w:w="137" w:type="dxa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63" type="#_x0000_t75" style="width:61.05pt;height:18pt" o:ole="">
                  <v:imagedata r:id="rId63" o:title=""/>
                </v:shape>
                <w:control r:id="rId64" w:name="DefaultOcxName20" w:shapeid="_x0000_i1563"/>
              </w:object>
            </w:r>
          </w:p>
        </w:tc>
        <w:tc>
          <w:tcPr>
            <w:tcW w:w="50" w:type="dxa"/>
            <w:vMerge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803" type="#_x0000_t75" style="width:61.05pt;height:18pt" o:ole="">
                  <v:imagedata r:id="rId65" o:title=""/>
                </v:shape>
                <w:control r:id="rId66" w:name="DefaultOcxName21" w:shapeid="_x0000_i1803"/>
              </w:object>
            </w:r>
          </w:p>
        </w:tc>
        <w:tc>
          <w:tcPr>
            <w:tcW w:w="216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61" type="#_x0000_t75" style="width:61.05pt;height:18pt" o:ole="">
                  <v:imagedata r:id="rId67" o:title=""/>
                </v:shape>
                <w:control r:id="rId68" w:name="DefaultOcxName22" w:shapeid="_x0000_i1561"/>
              </w:object>
            </w:r>
          </w:p>
        </w:tc>
        <w:tc>
          <w:tcPr>
            <w:tcW w:w="216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9B0393" w:rsidRPr="009B0393" w:rsidRDefault="009B0393" w:rsidP="009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560" type="#_x0000_t75" style="width:61.05pt;height:18pt" o:ole="">
                  <v:imagedata r:id="rId69" o:title=""/>
                </v:shape>
                <w:control r:id="rId70" w:name="DefaultOcxName23" w:shapeid="_x0000_i1560"/>
              </w:object>
            </w:r>
          </w:p>
        </w:tc>
      </w:tr>
    </w:tbl>
    <w:p w:rsidR="009B0393" w:rsidRPr="009B0393" w:rsidRDefault="009B0393" w:rsidP="009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393">
        <w:rPr>
          <w:rFonts w:ascii="Times New Roman" w:eastAsia="Times New Roman" w:hAnsi="Times New Roman" w:cs="Times New Roman"/>
          <w:sz w:val="24"/>
          <w:szCs w:val="24"/>
        </w:rPr>
        <w:br/>
      </w:r>
      <w:r w:rsidRPr="009B0393">
        <w:rPr>
          <w:rFonts w:ascii="Times New Roman" w:eastAsia="Times New Roman" w:hAnsi="Times New Roman" w:cs="Times New Roman"/>
          <w:sz w:val="24"/>
          <w:szCs w:val="24"/>
        </w:rPr>
        <w:br/>
        <w:t>(b) Compute retained earnings for 2009 assuming that the company reports 2009 net income of $253,000.</w:t>
      </w:r>
      <w:r w:rsidRPr="009B0393">
        <w:rPr>
          <w:rFonts w:ascii="Times New Roman" w:eastAsia="Times New Roman" w:hAnsi="Times New Roman" w:cs="Times New Roman"/>
          <w:sz w:val="24"/>
          <w:szCs w:val="24"/>
        </w:rPr>
        <w:br/>
        <w:t xml:space="preserve">$ </w:t>
      </w:r>
      <w:r w:rsidRPr="005260EC">
        <w:rPr>
          <w:rFonts w:ascii="Times New Roman" w:eastAsia="Times New Roman" w:hAnsi="Times New Roman" w:cs="Times New Roman"/>
          <w:sz w:val="24"/>
          <w:szCs w:val="24"/>
          <w:highlight w:val="red"/>
        </w:rPr>
        <w:object w:dxaOrig="990" w:dyaOrig="360">
          <v:shape id="_x0000_i1175" type="#_x0000_t75" style="width:49.3pt;height:18pt" o:ole="">
            <v:imagedata r:id="rId11" o:title=""/>
          </v:shape>
          <w:control r:id="rId71" w:name="DefaultOcxName24" w:shapeid="_x0000_i1175"/>
        </w:object>
      </w:r>
    </w:p>
    <w:p w:rsidR="009B0393" w:rsidRDefault="009B0393" w:rsidP="00D82C02"/>
    <w:p w:rsidR="001A7C2E" w:rsidRDefault="001A7C2E" w:rsidP="00D82C02"/>
    <w:p w:rsidR="001A7C2E" w:rsidRDefault="001A7C2E" w:rsidP="00D82C02"/>
    <w:p w:rsidR="001A7C2E" w:rsidRPr="001A7C2E" w:rsidRDefault="001A7C2E" w:rsidP="001A7C2E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3.</w:t>
      </w:r>
      <w:r w:rsidRPr="001A7C2E">
        <w:rPr>
          <w:b/>
          <w:bCs/>
        </w:rPr>
        <w:t xml:space="preserve"> </w:t>
      </w:r>
      <w:r w:rsidRPr="001A7C2E">
        <w:rPr>
          <w:rFonts w:ascii="Times New Roman" w:eastAsia="Times New Roman" w:hAnsi="Times New Roman" w:cs="Times New Roman"/>
          <w:b/>
          <w:bCs/>
          <w:sz w:val="24"/>
          <w:szCs w:val="24"/>
        </w:rPr>
        <w:t>Reconciling Common Stock and Treasury Stock Balances</w:t>
      </w:r>
      <w:r w:rsidRPr="001A7C2E">
        <w:rPr>
          <w:rFonts w:ascii="Times New Roman" w:eastAsia="Times New Roman" w:hAnsi="Times New Roman" w:cs="Times New Roman"/>
          <w:sz w:val="24"/>
          <w:szCs w:val="24"/>
        </w:rPr>
        <w:br/>
        <w:t>Following is the stockholders' equity section from the Abercrombie &amp; Fitch</w:t>
      </w:r>
      <w:r w:rsidRPr="001A7C2E">
        <w:rPr>
          <w:rFonts w:ascii="Times New Roman" w:eastAsia="Times New Roman" w:hAnsi="Times New Roman" w:cs="Times New Roman"/>
          <w:color w:val="0000FF"/>
          <w:sz w:val="24"/>
          <w:szCs w:val="24"/>
        </w:rPr>
        <w:t>†</w:t>
      </w:r>
      <w:r w:rsidRPr="001A7C2E">
        <w:rPr>
          <w:rFonts w:ascii="Times New Roman" w:eastAsia="Times New Roman" w:hAnsi="Times New Roman" w:cs="Times New Roman"/>
          <w:sz w:val="24"/>
          <w:szCs w:val="24"/>
        </w:rPr>
        <w:t xml:space="preserve"> balance sheet.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8"/>
        <w:gridCol w:w="120"/>
        <w:gridCol w:w="1814"/>
        <w:gridCol w:w="120"/>
        <w:gridCol w:w="1829"/>
      </w:tblGrid>
      <w:tr w:rsidR="001A7C2E" w:rsidRPr="001A7C2E" w:rsidTr="001A7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Shareholders' Equity ($ thousands)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February 2, 2008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February 3, 2007 </w:t>
            </w:r>
          </w:p>
        </w:tc>
      </w:tr>
      <w:tr w:rsidR="001A7C2E" w:rsidRPr="001A7C2E" w:rsidTr="001A7C2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>Class A common stock—$0.01 par value: 150,000,000</w: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shares authorized and 102,300,000 shares issued at</w: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February 2, 2008, and February 3, 2007, respectively </w:t>
            </w:r>
          </w:p>
        </w:tc>
        <w:tc>
          <w:tcPr>
            <w:tcW w:w="0" w:type="auto"/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      1,023 </w:t>
            </w:r>
          </w:p>
        </w:tc>
        <w:tc>
          <w:tcPr>
            <w:tcW w:w="0" w:type="auto"/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      1,023 </w:t>
            </w:r>
          </w:p>
        </w:tc>
      </w:tr>
      <w:tr w:rsidR="001A7C2E" w:rsidRPr="001A7C2E" w:rsidTr="001A7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Paid-in capital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319,451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289,732 </w:t>
            </w:r>
          </w:p>
        </w:tc>
      </w:tr>
      <w:tr w:rsidR="001A7C2E" w:rsidRPr="001A7C2E" w:rsidTr="001A7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Retained earnings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2,051,463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1,646,290 </w:t>
            </w:r>
          </w:p>
        </w:tc>
      </w:tr>
      <w:tr w:rsidR="001A7C2E" w:rsidRPr="001A7C2E" w:rsidTr="001A7C2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>Accumulated other comprehensive income (loss),</w: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net of tax </w:t>
            </w:r>
          </w:p>
        </w:tc>
        <w:tc>
          <w:tcPr>
            <w:tcW w:w="0" w:type="auto"/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7,118 </w:t>
            </w:r>
          </w:p>
        </w:tc>
        <w:tc>
          <w:tcPr>
            <w:tcW w:w="0" w:type="auto"/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(994) </w:t>
            </w:r>
          </w:p>
        </w:tc>
      </w:tr>
      <w:tr w:rsidR="001A7C2E" w:rsidRPr="001A7C2E" w:rsidTr="001A7C2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>Treasury stock at average cost: 18,941,116 and</w: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14,999,945 shares at February 2, 2008 and</w: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February 3, 2007, respectively </w:t>
            </w:r>
          </w:p>
        </w:tc>
        <w:tc>
          <w:tcPr>
            <w:tcW w:w="0" w:type="auto"/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bottom"/>
            <w:hideMark/>
          </w:tcPr>
          <w:p w:rsidR="001A7C2E" w:rsidRPr="008751B8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(760,752) </w:t>
            </w:r>
          </w:p>
        </w:tc>
        <w:tc>
          <w:tcPr>
            <w:tcW w:w="0" w:type="auto"/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bottom"/>
            <w:hideMark/>
          </w:tcPr>
          <w:p w:rsidR="001A7C2E" w:rsidRP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75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530,764)</w: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C2E" w:rsidRPr="001A7C2E" w:rsidTr="001A7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shareholders' equity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center"/>
            <w:hideMark/>
          </w:tcPr>
          <w:p w:rsidR="001A7C2E" w:rsidRPr="001A7C2E" w:rsidRDefault="001A7C2E" w:rsidP="0087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$1,618,303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7" w:type="dxa"/>
            </w:tcMar>
            <w:vAlign w:val="center"/>
            <w:hideMark/>
          </w:tcPr>
          <w:p w:rsidR="008751B8" w:rsidRDefault="008751B8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C2E" w:rsidRDefault="001A7C2E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$1,405,287 </w:t>
            </w:r>
          </w:p>
          <w:p w:rsidR="008751B8" w:rsidRDefault="008751B8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1B8" w:rsidRPr="001A7C2E" w:rsidRDefault="008751B8" w:rsidP="001A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C2E" w:rsidRPr="001A7C2E" w:rsidRDefault="001A7C2E" w:rsidP="001A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2E">
        <w:rPr>
          <w:rFonts w:ascii="Times New Roman" w:eastAsia="Times New Roman" w:hAnsi="Times New Roman" w:cs="Times New Roman"/>
          <w:sz w:val="24"/>
          <w:szCs w:val="24"/>
        </w:rPr>
        <w:t>a) Show the computation to yield the $1,023 balance reported for common stock.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180"/>
        <w:gridCol w:w="1390"/>
        <w:gridCol w:w="1857"/>
      </w:tblGrid>
      <w:tr w:rsidR="001A7C2E" w:rsidRPr="001A7C2E" w:rsidTr="001A7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884" type="#_x0000_t75" style="width:49.3pt;height:18pt" o:ole="">
                  <v:imagedata r:id="rId72" o:title=""/>
                </v:shape>
                <w:control r:id="rId73" w:name="DefaultOcxName28" w:shapeid="_x0000_i1884"/>
              </w:objec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shares)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($ </w: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885" type="#_x0000_t75" style="width:49.3pt;height:18pt" o:ole="">
                  <v:imagedata r:id="rId74" o:title=""/>
                </v:shape>
                <w:control r:id="rId75" w:name="DefaultOcxName112" w:shapeid="_x0000_i1885"/>
              </w:object>
            </w: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A7C2E" w:rsidRPr="001A7C2E" w:rsidRDefault="001A7C2E" w:rsidP="001A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$1,023 thousand </w:t>
            </w:r>
          </w:p>
        </w:tc>
      </w:tr>
    </w:tbl>
    <w:p w:rsidR="001A7C2E" w:rsidRPr="001A7C2E" w:rsidRDefault="001A7C2E" w:rsidP="001A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2E">
        <w:rPr>
          <w:rFonts w:ascii="Times New Roman" w:eastAsia="Times New Roman" w:hAnsi="Times New Roman" w:cs="Times New Roman"/>
          <w:sz w:val="24"/>
          <w:szCs w:val="24"/>
        </w:rPr>
        <w:br/>
        <w:t>(b) How many shares are outstanding at 2008 fiscal year-end?</w:t>
      </w:r>
      <w:r w:rsidRPr="001A7C2E">
        <w:rPr>
          <w:rFonts w:ascii="Times New Roman" w:eastAsia="Times New Roman" w:hAnsi="Times New Roman" w:cs="Times New Roman"/>
          <w:sz w:val="24"/>
          <w:szCs w:val="24"/>
        </w:rPr>
        <w:br/>
      </w:r>
      <w:r w:rsidRPr="001A7C2E">
        <w:rPr>
          <w:rFonts w:ascii="Times New Roman" w:eastAsia="Times New Roman" w:hAnsi="Times New Roman" w:cs="Times New Roman"/>
          <w:sz w:val="24"/>
          <w:szCs w:val="24"/>
          <w:highlight w:val="red"/>
        </w:rPr>
        <w:object w:dxaOrig="990" w:dyaOrig="360">
          <v:shape id="_x0000_i1881" type="#_x0000_t75" style="width:49.3pt;height:18pt" o:ole="">
            <v:imagedata r:id="rId11" o:title=""/>
          </v:shape>
          <w:control r:id="rId76" w:name="DefaultOcxName27" w:shapeid="_x0000_i1881"/>
        </w:object>
      </w:r>
      <w:proofErr w:type="gramStart"/>
      <w:r w:rsidRPr="001A7C2E">
        <w:rPr>
          <w:rFonts w:ascii="Times New Roman" w:eastAsia="Times New Roman" w:hAnsi="Times New Roman" w:cs="Times New Roman"/>
          <w:sz w:val="24"/>
          <w:szCs w:val="24"/>
          <w:highlight w:val="red"/>
        </w:rPr>
        <w:t>sha</w:t>
      </w:r>
      <w:r w:rsidRPr="001A7C2E">
        <w:rPr>
          <w:rFonts w:ascii="Times New Roman" w:eastAsia="Times New Roman" w:hAnsi="Times New Roman" w:cs="Times New Roman"/>
          <w:sz w:val="24"/>
          <w:szCs w:val="24"/>
        </w:rPr>
        <w:t>res</w:t>
      </w:r>
      <w:proofErr w:type="gramEnd"/>
      <w:r w:rsidRPr="001A7C2E">
        <w:rPr>
          <w:rFonts w:ascii="Times New Roman" w:eastAsia="Times New Roman" w:hAnsi="Times New Roman" w:cs="Times New Roman"/>
          <w:sz w:val="24"/>
          <w:szCs w:val="24"/>
        </w:rPr>
        <w:br/>
      </w:r>
      <w:r w:rsidRPr="001A7C2E">
        <w:rPr>
          <w:rFonts w:ascii="Times New Roman" w:eastAsia="Times New Roman" w:hAnsi="Times New Roman" w:cs="Times New Roman"/>
          <w:sz w:val="24"/>
          <w:szCs w:val="24"/>
        </w:rPr>
        <w:br/>
        <w:t xml:space="preserve">(c) Use the common stock and paid-in capital accounts to determine the average price at which Abercrombie &amp; Fitch issued its common stock. </w:t>
      </w:r>
      <w:proofErr w:type="gramStart"/>
      <w:r w:rsidRPr="001A7C2E">
        <w:rPr>
          <w:rFonts w:ascii="Times New Roman" w:eastAsia="Times New Roman" w:hAnsi="Times New Roman" w:cs="Times New Roman"/>
          <w:b/>
          <w:bCs/>
          <w:sz w:val="24"/>
          <w:szCs w:val="24"/>
        </w:rPr>
        <w:t>(Round your answer to two decimal places.)</w:t>
      </w:r>
      <w:proofErr w:type="gramEnd"/>
      <w:r w:rsidRPr="001A7C2E">
        <w:rPr>
          <w:rFonts w:ascii="Times New Roman" w:eastAsia="Times New Roman" w:hAnsi="Times New Roman" w:cs="Times New Roman"/>
          <w:sz w:val="24"/>
          <w:szCs w:val="24"/>
        </w:rPr>
        <w:br/>
        <w:t xml:space="preserve">$ </w:t>
      </w:r>
      <w:r w:rsidRPr="001A7C2E">
        <w:rPr>
          <w:rFonts w:ascii="Times New Roman" w:eastAsia="Times New Roman" w:hAnsi="Times New Roman" w:cs="Times New Roman"/>
          <w:sz w:val="24"/>
          <w:szCs w:val="24"/>
          <w:highlight w:val="red"/>
        </w:rPr>
        <w:object w:dxaOrig="990" w:dyaOrig="360">
          <v:shape id="_x0000_i1880" type="#_x0000_t75" style="width:49.3pt;height:18pt" o:ole="">
            <v:imagedata r:id="rId11" o:title=""/>
          </v:shape>
          <w:control r:id="rId77" w:name="DefaultOcxName32" w:shapeid="_x0000_i1880"/>
        </w:object>
      </w:r>
      <w:r w:rsidRPr="001A7C2E">
        <w:rPr>
          <w:rFonts w:ascii="Times New Roman" w:eastAsia="Times New Roman" w:hAnsi="Times New Roman" w:cs="Times New Roman"/>
          <w:sz w:val="24"/>
          <w:szCs w:val="24"/>
        </w:rPr>
        <w:br/>
      </w:r>
      <w:r w:rsidRPr="001A7C2E">
        <w:rPr>
          <w:rFonts w:ascii="Times New Roman" w:eastAsia="Times New Roman" w:hAnsi="Times New Roman" w:cs="Times New Roman"/>
          <w:sz w:val="24"/>
          <w:szCs w:val="24"/>
        </w:rPr>
        <w:br/>
        <w:t xml:space="preserve">(d) Use the treasury stock account to determine the average price Abercrombie &amp; Fitch paid when it repurchased its common shares. </w:t>
      </w:r>
      <w:proofErr w:type="gramStart"/>
      <w:r w:rsidRPr="001A7C2E">
        <w:rPr>
          <w:rFonts w:ascii="Times New Roman" w:eastAsia="Times New Roman" w:hAnsi="Times New Roman" w:cs="Times New Roman"/>
          <w:b/>
          <w:bCs/>
          <w:sz w:val="24"/>
          <w:szCs w:val="24"/>
        </w:rPr>
        <w:t>(Round your answer to two decimal places.)</w:t>
      </w:r>
      <w:proofErr w:type="gramEnd"/>
      <w:r w:rsidRPr="001A7C2E">
        <w:rPr>
          <w:rFonts w:ascii="Times New Roman" w:eastAsia="Times New Roman" w:hAnsi="Times New Roman" w:cs="Times New Roman"/>
          <w:sz w:val="24"/>
          <w:szCs w:val="24"/>
        </w:rPr>
        <w:br/>
        <w:t xml:space="preserve">$ </w:t>
      </w:r>
      <w:r w:rsidRPr="001A7C2E">
        <w:rPr>
          <w:rFonts w:ascii="Times New Roman" w:eastAsia="Times New Roman" w:hAnsi="Times New Roman" w:cs="Times New Roman"/>
          <w:sz w:val="24"/>
          <w:szCs w:val="24"/>
          <w:highlight w:val="red"/>
        </w:rPr>
        <w:object w:dxaOrig="990" w:dyaOrig="360">
          <v:shape id="_x0000_i1879" type="#_x0000_t75" style="width:49.3pt;height:18pt" o:ole="">
            <v:imagedata r:id="rId11" o:title=""/>
          </v:shape>
          <w:control r:id="rId78" w:name="DefaultOcxName42" w:shapeid="_x0000_i1879"/>
        </w:object>
      </w:r>
    </w:p>
    <w:p w:rsidR="001A7C2E" w:rsidRDefault="001A7C2E" w:rsidP="00D82C02"/>
    <w:sectPr w:rsidR="001A7C2E" w:rsidSect="0043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B84"/>
    <w:multiLevelType w:val="hybridMultilevel"/>
    <w:tmpl w:val="6E76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3A1"/>
    <w:multiLevelType w:val="hybridMultilevel"/>
    <w:tmpl w:val="8E0A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82C02"/>
    <w:rsid w:val="001A7C2E"/>
    <w:rsid w:val="00287590"/>
    <w:rsid w:val="00353058"/>
    <w:rsid w:val="004369A4"/>
    <w:rsid w:val="005260EC"/>
    <w:rsid w:val="008751B8"/>
    <w:rsid w:val="009B0393"/>
    <w:rsid w:val="00D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02"/>
    <w:pPr>
      <w:ind w:left="720"/>
      <w:contextualSpacing/>
    </w:pPr>
  </w:style>
  <w:style w:type="character" w:customStyle="1" w:styleId="qtextfield">
    <w:name w:val="qtextfield"/>
    <w:basedOn w:val="DefaultParagraphFont"/>
    <w:rsid w:val="00D82C02"/>
  </w:style>
  <w:style w:type="paragraph" w:styleId="BalloonText">
    <w:name w:val="Balloon Text"/>
    <w:basedOn w:val="Normal"/>
    <w:link w:val="BalloonTextChar"/>
    <w:uiPriority w:val="99"/>
    <w:semiHidden/>
    <w:unhideWhenUsed/>
    <w:rsid w:val="00D8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0393"/>
    <w:rPr>
      <w:b/>
      <w:bCs/>
    </w:rPr>
  </w:style>
  <w:style w:type="character" w:customStyle="1" w:styleId="company">
    <w:name w:val="company"/>
    <w:basedOn w:val="DefaultParagraphFont"/>
    <w:rsid w:val="001A7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image" Target="media/image15.wmf"/><Relationship Id="rId21" Type="http://schemas.openxmlformats.org/officeDocument/2006/relationships/control" Target="activeX/activeX12.xml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image" Target="media/image19.wmf"/><Relationship Id="rId50" Type="http://schemas.openxmlformats.org/officeDocument/2006/relationships/control" Target="activeX/activeX26.xml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ontrol" Target="activeX/activeX35.xml"/><Relationship Id="rId76" Type="http://schemas.openxmlformats.org/officeDocument/2006/relationships/control" Target="activeX/activeX40.xml"/><Relationship Id="rId7" Type="http://schemas.openxmlformats.org/officeDocument/2006/relationships/image" Target="media/image2.wmf"/><Relationship Id="rId71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image" Target="media/image10.wmf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1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30.xml"/><Relationship Id="rId66" Type="http://schemas.openxmlformats.org/officeDocument/2006/relationships/control" Target="activeX/activeX34.xml"/><Relationship Id="rId74" Type="http://schemas.openxmlformats.org/officeDocument/2006/relationships/image" Target="media/image32.wmf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image" Target="media/image11.wmf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60" Type="http://schemas.openxmlformats.org/officeDocument/2006/relationships/control" Target="activeX/activeX31.xml"/><Relationship Id="rId65" Type="http://schemas.openxmlformats.org/officeDocument/2006/relationships/image" Target="media/image28.wmf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6.gif"/><Relationship Id="rId27" Type="http://schemas.openxmlformats.org/officeDocument/2006/relationships/image" Target="media/image9.wmf"/><Relationship Id="rId30" Type="http://schemas.openxmlformats.org/officeDocument/2006/relationships/control" Target="activeX/activeX16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56" Type="http://schemas.openxmlformats.org/officeDocument/2006/relationships/control" Target="activeX/activeX29.xml"/><Relationship Id="rId64" Type="http://schemas.openxmlformats.org/officeDocument/2006/relationships/control" Target="activeX/activeX33.xml"/><Relationship Id="rId69" Type="http://schemas.openxmlformats.org/officeDocument/2006/relationships/image" Target="media/image30.wmf"/><Relationship Id="rId77" Type="http://schemas.openxmlformats.org/officeDocument/2006/relationships/control" Target="activeX/activeX41.xml"/><Relationship Id="rId8" Type="http://schemas.openxmlformats.org/officeDocument/2006/relationships/control" Target="activeX/activeX2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control" Target="activeX/activeX11.xml"/><Relationship Id="rId41" Type="http://schemas.openxmlformats.org/officeDocument/2006/relationships/image" Target="media/image16.wmf"/><Relationship Id="rId54" Type="http://schemas.openxmlformats.org/officeDocument/2006/relationships/control" Target="activeX/activeX28.xml"/><Relationship Id="rId62" Type="http://schemas.openxmlformats.org/officeDocument/2006/relationships/control" Target="activeX/activeX32.xm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 Irene</dc:creator>
  <cp:lastModifiedBy>Mark and Irene</cp:lastModifiedBy>
  <cp:revision>2</cp:revision>
  <dcterms:created xsi:type="dcterms:W3CDTF">2011-10-22T05:55:00Z</dcterms:created>
  <dcterms:modified xsi:type="dcterms:W3CDTF">2011-10-22T05:55:00Z</dcterms:modified>
</cp:coreProperties>
</file>