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7B" w:rsidRPr="002F315C" w:rsidRDefault="00B7187B" w:rsidP="00B7187B">
      <w:pPr>
        <w:pStyle w:val="NoSpacing"/>
        <w:jc w:val="center"/>
        <w:rPr>
          <w:rFonts w:ascii="Arial" w:eastAsia="Calibri" w:hAnsi="Arial" w:cs="Arial"/>
          <w:b/>
          <w:color w:val="1F497D"/>
          <w:sz w:val="32"/>
          <w:szCs w:val="32"/>
        </w:rPr>
      </w:pPr>
      <w:r w:rsidRPr="002F315C">
        <w:rPr>
          <w:rFonts w:ascii="Arial" w:eastAsia="Calibri" w:hAnsi="Arial" w:cs="Arial"/>
          <w:b/>
          <w:color w:val="1F497D"/>
          <w:sz w:val="32"/>
          <w:szCs w:val="32"/>
        </w:rPr>
        <w:t>ACC42</w:t>
      </w:r>
      <w:r>
        <w:rPr>
          <w:rFonts w:ascii="Arial" w:eastAsia="Calibri" w:hAnsi="Arial" w:cs="Arial"/>
          <w:b/>
          <w:color w:val="1F497D"/>
          <w:sz w:val="32"/>
          <w:szCs w:val="32"/>
        </w:rPr>
        <w:t>3</w:t>
      </w:r>
      <w:r w:rsidRPr="002F315C">
        <w:rPr>
          <w:rFonts w:ascii="Arial" w:eastAsia="Calibri" w:hAnsi="Arial" w:cs="Arial"/>
          <w:b/>
          <w:color w:val="1F497D"/>
          <w:sz w:val="32"/>
          <w:szCs w:val="32"/>
        </w:rPr>
        <w:t xml:space="preserve"> – Intermediate Accounting II</w:t>
      </w:r>
    </w:p>
    <w:p w:rsidR="00B7187B" w:rsidRPr="002F315C" w:rsidRDefault="00B7187B" w:rsidP="00B7187B">
      <w:pPr>
        <w:pStyle w:val="NoSpacing"/>
        <w:jc w:val="center"/>
        <w:rPr>
          <w:rFonts w:ascii="Arial" w:eastAsia="Calibri" w:hAnsi="Arial" w:cs="Arial"/>
          <w:b/>
          <w:color w:val="1F497D"/>
          <w:sz w:val="32"/>
          <w:szCs w:val="32"/>
        </w:rPr>
      </w:pPr>
      <w:r w:rsidRPr="002F315C">
        <w:rPr>
          <w:rFonts w:ascii="Arial" w:eastAsia="Calibri" w:hAnsi="Arial" w:cs="Arial"/>
          <w:b/>
          <w:color w:val="1F497D"/>
          <w:sz w:val="32"/>
          <w:szCs w:val="32"/>
        </w:rPr>
        <w:t xml:space="preserve">Individual Assignment – Week </w:t>
      </w:r>
      <w:r w:rsidR="00460A16">
        <w:rPr>
          <w:rFonts w:ascii="Arial" w:eastAsia="Calibri" w:hAnsi="Arial" w:cs="Arial"/>
          <w:b/>
          <w:color w:val="1F497D"/>
          <w:sz w:val="32"/>
          <w:szCs w:val="32"/>
        </w:rPr>
        <w:t>4</w:t>
      </w:r>
    </w:p>
    <w:p w:rsidR="00B7187B" w:rsidRPr="002F315C" w:rsidRDefault="00B7187B" w:rsidP="00B7187B">
      <w:pPr>
        <w:pStyle w:val="NoSpacing"/>
        <w:rPr>
          <w:rFonts w:ascii="Arial" w:eastAsia="Calibri" w:hAnsi="Arial" w:cs="Arial"/>
          <w:b/>
          <w:sz w:val="24"/>
          <w:szCs w:val="24"/>
          <w:u w:val="single"/>
        </w:rPr>
      </w:pPr>
    </w:p>
    <w:p w:rsidR="00B7187B" w:rsidRPr="00E6382F" w:rsidRDefault="00B7187B" w:rsidP="00B7187B">
      <w:pPr>
        <w:pStyle w:val="NoSpacing"/>
        <w:rPr>
          <w:rFonts w:ascii="Arial" w:eastAsia="Calibri" w:hAnsi="Arial" w:cs="Arial"/>
          <w:sz w:val="24"/>
          <w:szCs w:val="24"/>
        </w:rPr>
      </w:pPr>
      <w:r w:rsidRPr="002F315C">
        <w:rPr>
          <w:rFonts w:ascii="Arial" w:eastAsia="Calibri" w:hAnsi="Arial" w:cs="Arial"/>
          <w:sz w:val="24"/>
          <w:szCs w:val="24"/>
        </w:rPr>
        <w:t xml:space="preserve">This assignment is worth a total of 75 points distributed evenly among the </w:t>
      </w:r>
      <w:r w:rsidR="00DC2BE2">
        <w:rPr>
          <w:rFonts w:ascii="Arial" w:eastAsia="Calibri" w:hAnsi="Arial" w:cs="Arial"/>
          <w:sz w:val="24"/>
          <w:szCs w:val="24"/>
        </w:rPr>
        <w:t>four</w:t>
      </w:r>
      <w:r w:rsidRPr="002F315C">
        <w:rPr>
          <w:rFonts w:ascii="Arial" w:eastAsia="Calibri" w:hAnsi="Arial" w:cs="Arial"/>
          <w:sz w:val="24"/>
          <w:szCs w:val="24"/>
        </w:rPr>
        <w:t xml:space="preserve"> problems.  It will be graded based upon both the accuracy of your solutions (2/3) and effort (1/3).  Points for effort will be impacted by poor formatting, poor organization, clear lack of effort, lack of </w:t>
      </w:r>
      <w:r w:rsidRPr="00E6382F">
        <w:rPr>
          <w:rFonts w:ascii="Arial" w:eastAsia="Calibri" w:hAnsi="Arial" w:cs="Arial"/>
          <w:sz w:val="24"/>
          <w:szCs w:val="24"/>
        </w:rPr>
        <w:t>supporting calculations, and careless errors.  Any simple arithmetic errors, unbalanced journal entries, or unbalanced schedules will result in zero effort points for that problem.  Show your work and double check your math and entries!</w:t>
      </w:r>
    </w:p>
    <w:p w:rsidR="00B7187B" w:rsidRPr="00496E70" w:rsidRDefault="00B7187B" w:rsidP="00B7187B">
      <w:pPr>
        <w:pStyle w:val="NoSpacing"/>
        <w:rPr>
          <w:rFonts w:ascii="Arial" w:eastAsia="Calibri" w:hAnsi="Arial" w:cs="Arial"/>
          <w:sz w:val="24"/>
          <w:szCs w:val="24"/>
        </w:rPr>
      </w:pPr>
    </w:p>
    <w:p w:rsidR="00B7187B" w:rsidRPr="00496E70" w:rsidRDefault="00B7187B" w:rsidP="00B7187B">
      <w:pPr>
        <w:pStyle w:val="NoSpacing"/>
        <w:rPr>
          <w:rFonts w:ascii="Arial" w:eastAsia="Calibri" w:hAnsi="Arial" w:cs="Arial"/>
          <w:b/>
          <w:bCs/>
          <w:sz w:val="24"/>
          <w:szCs w:val="24"/>
        </w:rPr>
      </w:pPr>
      <w:r w:rsidRPr="00496E70">
        <w:rPr>
          <w:rFonts w:ascii="Arial" w:eastAsia="Calibri" w:hAnsi="Arial" w:cs="Arial"/>
          <w:b/>
          <w:bCs/>
          <w:sz w:val="24"/>
          <w:szCs w:val="24"/>
          <w:u w:val="single"/>
        </w:rPr>
        <w:t>Problem 1:</w:t>
      </w:r>
      <w:r w:rsidRPr="00496E70">
        <w:rPr>
          <w:rFonts w:ascii="Arial" w:eastAsia="Calibri" w:hAnsi="Arial" w:cs="Arial"/>
          <w:b/>
          <w:bCs/>
          <w:sz w:val="24"/>
          <w:szCs w:val="24"/>
        </w:rPr>
        <w:t xml:space="preserve"> </w:t>
      </w:r>
    </w:p>
    <w:p w:rsidR="00B7187B" w:rsidRPr="00496E70" w:rsidRDefault="00B7187B" w:rsidP="00B7187B">
      <w:pPr>
        <w:pStyle w:val="NoSpacing"/>
        <w:rPr>
          <w:rFonts w:ascii="Arial" w:eastAsia="Calibri" w:hAnsi="Arial" w:cs="Arial"/>
          <w:sz w:val="24"/>
          <w:szCs w:val="24"/>
        </w:rPr>
      </w:pPr>
    </w:p>
    <w:p w:rsidR="00E6382F" w:rsidRPr="00496E70" w:rsidRDefault="00E6382F" w:rsidP="00496E70">
      <w:pPr>
        <w:pStyle w:val="NoSpacing"/>
        <w:rPr>
          <w:rFonts w:ascii="Arial" w:hAnsi="Arial" w:cs="Arial"/>
          <w:sz w:val="24"/>
          <w:szCs w:val="24"/>
        </w:rPr>
      </w:pPr>
      <w:r w:rsidRPr="00496E70">
        <w:rPr>
          <w:rFonts w:ascii="Arial" w:hAnsi="Arial" w:cs="Arial"/>
          <w:sz w:val="24"/>
          <w:szCs w:val="24"/>
        </w:rPr>
        <w:t xml:space="preserve">The following information pertains to </w:t>
      </w:r>
      <w:r w:rsidR="00D241B9" w:rsidRPr="00D241B9">
        <w:rPr>
          <w:rFonts w:ascii="Arial" w:eastAsiaTheme="minorEastAsia" w:hAnsi="Arial" w:cs="Arial"/>
          <w:color w:val="000000"/>
          <w:sz w:val="24"/>
          <w:szCs w:val="24"/>
        </w:rPr>
        <w:t>OMV Company</w:t>
      </w:r>
      <w:r w:rsidRPr="00496E70">
        <w:rPr>
          <w:rFonts w:ascii="Arial" w:hAnsi="Arial" w:cs="Arial"/>
          <w:sz w:val="24"/>
          <w:szCs w:val="24"/>
        </w:rPr>
        <w:t xml:space="preserve"> for </w:t>
      </w:r>
      <w:r w:rsidR="00D241B9" w:rsidRPr="00D241B9">
        <w:rPr>
          <w:rFonts w:ascii="Arial" w:eastAsiaTheme="minorEastAsia" w:hAnsi="Arial" w:cs="Arial"/>
          <w:color w:val="000000"/>
          <w:sz w:val="24"/>
          <w:szCs w:val="24"/>
        </w:rPr>
        <w:t>2013</w:t>
      </w:r>
      <w:r w:rsidRPr="00496E70">
        <w:rPr>
          <w:rFonts w:ascii="Arial" w:hAnsi="Arial" w:cs="Arial"/>
          <w:sz w:val="24"/>
          <w:szCs w:val="24"/>
        </w:rPr>
        <w:t>:</w:t>
      </w:r>
    </w:p>
    <w:p w:rsidR="00E6382F" w:rsidRPr="00496E70" w:rsidRDefault="00E6382F" w:rsidP="00496E70">
      <w:pPr>
        <w:pStyle w:val="NoSpacing"/>
        <w:rPr>
          <w:rFonts w:ascii="Arial" w:hAnsi="Arial" w:cs="Arial"/>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00"/>
        <w:gridCol w:w="2160"/>
      </w:tblGrid>
      <w:tr w:rsidR="00E6382F" w:rsidRPr="00496E70" w:rsidTr="00496E70">
        <w:tc>
          <w:tcPr>
            <w:tcW w:w="6300" w:type="dxa"/>
          </w:tcPr>
          <w:p w:rsidR="00E6382F" w:rsidRPr="00496E70" w:rsidRDefault="00E6382F" w:rsidP="00496E70">
            <w:pPr>
              <w:pStyle w:val="NoSpacing"/>
              <w:rPr>
                <w:rFonts w:ascii="Arial" w:hAnsi="Arial" w:cs="Arial"/>
                <w:sz w:val="24"/>
                <w:szCs w:val="24"/>
              </w:rPr>
            </w:pPr>
            <w:r w:rsidRPr="00496E70">
              <w:rPr>
                <w:rFonts w:ascii="Arial" w:hAnsi="Arial" w:cs="Arial"/>
                <w:sz w:val="24"/>
                <w:szCs w:val="24"/>
              </w:rPr>
              <w:t>Deferred Tax Liability, January 1:</w:t>
            </w:r>
          </w:p>
        </w:tc>
        <w:tc>
          <w:tcPr>
            <w:tcW w:w="2160" w:type="dxa"/>
          </w:tcPr>
          <w:p w:rsidR="00E6382F" w:rsidRPr="00496E70" w:rsidRDefault="00D241B9" w:rsidP="00496E70">
            <w:pPr>
              <w:pStyle w:val="NoSpacing"/>
              <w:rPr>
                <w:rFonts w:ascii="Arial" w:hAnsi="Arial" w:cs="Arial"/>
                <w:sz w:val="24"/>
                <w:szCs w:val="24"/>
              </w:rPr>
            </w:pPr>
            <w:r w:rsidRPr="00D241B9">
              <w:rPr>
                <w:rFonts w:ascii="Arial" w:eastAsiaTheme="minorEastAsia" w:hAnsi="Arial" w:cs="Arial"/>
                <w:color w:val="000000"/>
                <w:sz w:val="24"/>
                <w:szCs w:val="24"/>
              </w:rPr>
              <w:t>$76,000</w:t>
            </w:r>
          </w:p>
        </w:tc>
      </w:tr>
      <w:tr w:rsidR="00E6382F" w:rsidRPr="00496E70" w:rsidTr="00496E70">
        <w:tc>
          <w:tcPr>
            <w:tcW w:w="6300" w:type="dxa"/>
          </w:tcPr>
          <w:p w:rsidR="00E6382F" w:rsidRPr="00496E70" w:rsidRDefault="00E6382F" w:rsidP="00496E70">
            <w:pPr>
              <w:pStyle w:val="NoSpacing"/>
              <w:rPr>
                <w:rFonts w:ascii="Arial" w:hAnsi="Arial" w:cs="Arial"/>
                <w:sz w:val="24"/>
                <w:szCs w:val="24"/>
              </w:rPr>
            </w:pPr>
            <w:r w:rsidRPr="00496E70">
              <w:rPr>
                <w:rFonts w:ascii="Arial" w:hAnsi="Arial" w:cs="Arial"/>
                <w:sz w:val="24"/>
                <w:szCs w:val="24"/>
              </w:rPr>
              <w:t>Related Cumulative Temporary Difference December 31:</w:t>
            </w:r>
          </w:p>
        </w:tc>
        <w:tc>
          <w:tcPr>
            <w:tcW w:w="2160" w:type="dxa"/>
          </w:tcPr>
          <w:p w:rsidR="00E6382F" w:rsidRPr="00496E70" w:rsidRDefault="00D241B9" w:rsidP="00496E70">
            <w:pPr>
              <w:pStyle w:val="NoSpacing"/>
              <w:rPr>
                <w:rFonts w:ascii="Arial" w:hAnsi="Arial" w:cs="Arial"/>
                <w:sz w:val="24"/>
                <w:szCs w:val="24"/>
              </w:rPr>
            </w:pPr>
            <w:r w:rsidRPr="00D241B9">
              <w:rPr>
                <w:rFonts w:ascii="Arial" w:eastAsiaTheme="minorEastAsia" w:hAnsi="Arial" w:cs="Arial"/>
                <w:color w:val="000000"/>
                <w:sz w:val="24"/>
                <w:szCs w:val="24"/>
              </w:rPr>
              <w:t>$240,000</w:t>
            </w:r>
          </w:p>
        </w:tc>
      </w:tr>
      <w:tr w:rsidR="00E6382F" w:rsidRPr="00496E70" w:rsidTr="00496E70">
        <w:tc>
          <w:tcPr>
            <w:tcW w:w="6300" w:type="dxa"/>
          </w:tcPr>
          <w:p w:rsidR="00E6382F" w:rsidRPr="00496E70" w:rsidRDefault="00E6382F" w:rsidP="00496E70">
            <w:pPr>
              <w:pStyle w:val="NoSpacing"/>
              <w:rPr>
                <w:rFonts w:ascii="Arial" w:hAnsi="Arial" w:cs="Arial"/>
                <w:sz w:val="24"/>
                <w:szCs w:val="24"/>
              </w:rPr>
            </w:pPr>
            <w:r w:rsidRPr="00496E70">
              <w:rPr>
                <w:rFonts w:ascii="Arial" w:hAnsi="Arial" w:cs="Arial"/>
                <w:sz w:val="24"/>
                <w:szCs w:val="24"/>
              </w:rPr>
              <w:t>Pretax Accounting Income:</w:t>
            </w:r>
          </w:p>
        </w:tc>
        <w:tc>
          <w:tcPr>
            <w:tcW w:w="2160" w:type="dxa"/>
          </w:tcPr>
          <w:p w:rsidR="00E6382F" w:rsidRPr="00496E70" w:rsidRDefault="00D241B9" w:rsidP="00496E70">
            <w:pPr>
              <w:pStyle w:val="NoSpacing"/>
              <w:rPr>
                <w:rFonts w:ascii="Arial" w:hAnsi="Arial" w:cs="Arial"/>
                <w:sz w:val="24"/>
                <w:szCs w:val="24"/>
              </w:rPr>
            </w:pPr>
            <w:r w:rsidRPr="00D241B9">
              <w:rPr>
                <w:rFonts w:ascii="Arial" w:eastAsiaTheme="minorEastAsia" w:hAnsi="Arial" w:cs="Arial"/>
                <w:color w:val="000000"/>
                <w:sz w:val="24"/>
                <w:szCs w:val="24"/>
              </w:rPr>
              <w:t>$627,000</w:t>
            </w:r>
          </w:p>
        </w:tc>
      </w:tr>
      <w:tr w:rsidR="00E6382F" w:rsidRPr="00496E70" w:rsidTr="00496E70">
        <w:tc>
          <w:tcPr>
            <w:tcW w:w="6300" w:type="dxa"/>
          </w:tcPr>
          <w:p w:rsidR="00E6382F" w:rsidRPr="00496E70" w:rsidRDefault="00E6382F" w:rsidP="00496E70">
            <w:pPr>
              <w:pStyle w:val="NoSpacing"/>
              <w:rPr>
                <w:rFonts w:ascii="Arial" w:hAnsi="Arial" w:cs="Arial"/>
                <w:sz w:val="24"/>
                <w:szCs w:val="24"/>
              </w:rPr>
            </w:pPr>
            <w:r w:rsidRPr="00496E70">
              <w:rPr>
                <w:rFonts w:ascii="Arial" w:hAnsi="Arial" w:cs="Arial"/>
                <w:sz w:val="24"/>
                <w:szCs w:val="24"/>
              </w:rPr>
              <w:t>Taxable Income:</w:t>
            </w:r>
          </w:p>
        </w:tc>
        <w:tc>
          <w:tcPr>
            <w:tcW w:w="2160" w:type="dxa"/>
          </w:tcPr>
          <w:p w:rsidR="00E6382F" w:rsidRPr="00496E70" w:rsidRDefault="00D241B9" w:rsidP="00496E70">
            <w:pPr>
              <w:pStyle w:val="NoSpacing"/>
              <w:rPr>
                <w:rFonts w:ascii="Arial" w:hAnsi="Arial" w:cs="Arial"/>
                <w:sz w:val="24"/>
                <w:szCs w:val="24"/>
              </w:rPr>
            </w:pPr>
            <w:r w:rsidRPr="00D241B9">
              <w:rPr>
                <w:rFonts w:ascii="Arial" w:eastAsiaTheme="minorEastAsia" w:hAnsi="Arial" w:cs="Arial"/>
                <w:color w:val="000000"/>
                <w:sz w:val="24"/>
                <w:szCs w:val="24"/>
              </w:rPr>
              <w:t>$502,000</w:t>
            </w:r>
          </w:p>
        </w:tc>
      </w:tr>
      <w:tr w:rsidR="00E6382F" w:rsidRPr="00496E70" w:rsidTr="00496E70">
        <w:tc>
          <w:tcPr>
            <w:tcW w:w="6300" w:type="dxa"/>
          </w:tcPr>
          <w:p w:rsidR="00E6382F" w:rsidRPr="00496E70" w:rsidRDefault="00E6382F" w:rsidP="00496E70">
            <w:pPr>
              <w:pStyle w:val="NoSpacing"/>
              <w:rPr>
                <w:rFonts w:ascii="Arial" w:hAnsi="Arial" w:cs="Arial"/>
                <w:sz w:val="24"/>
                <w:szCs w:val="24"/>
              </w:rPr>
            </w:pPr>
            <w:r w:rsidRPr="00496E70">
              <w:rPr>
                <w:rFonts w:ascii="Arial" w:hAnsi="Arial" w:cs="Arial"/>
                <w:sz w:val="24"/>
                <w:szCs w:val="24"/>
              </w:rPr>
              <w:t>Tax Rate:</w:t>
            </w:r>
          </w:p>
        </w:tc>
        <w:tc>
          <w:tcPr>
            <w:tcW w:w="2160" w:type="dxa"/>
          </w:tcPr>
          <w:p w:rsidR="00E6382F" w:rsidRPr="00496E70" w:rsidRDefault="00D241B9" w:rsidP="00496E70">
            <w:pPr>
              <w:pStyle w:val="NoSpacing"/>
              <w:rPr>
                <w:rFonts w:ascii="Arial" w:hAnsi="Arial" w:cs="Arial"/>
                <w:sz w:val="24"/>
                <w:szCs w:val="24"/>
              </w:rPr>
            </w:pPr>
            <w:r w:rsidRPr="00D241B9">
              <w:rPr>
                <w:rFonts w:ascii="Arial" w:eastAsiaTheme="minorEastAsia" w:hAnsi="Arial" w:cs="Arial"/>
                <w:color w:val="000000"/>
                <w:sz w:val="24"/>
                <w:szCs w:val="24"/>
              </w:rPr>
              <w:t>38%</w:t>
            </w:r>
          </w:p>
        </w:tc>
      </w:tr>
    </w:tbl>
    <w:p w:rsidR="00E6382F" w:rsidRPr="00496E70" w:rsidRDefault="00E6382F" w:rsidP="00496E70">
      <w:pPr>
        <w:pStyle w:val="NoSpacing"/>
        <w:rPr>
          <w:rFonts w:ascii="Arial" w:hAnsi="Arial" w:cs="Arial"/>
          <w:sz w:val="24"/>
          <w:szCs w:val="24"/>
        </w:rPr>
      </w:pPr>
    </w:p>
    <w:p w:rsidR="00496E70" w:rsidRDefault="00496E70" w:rsidP="00496E70">
      <w:pPr>
        <w:pStyle w:val="NoSpacing"/>
        <w:rPr>
          <w:rFonts w:ascii="Arial" w:hAnsi="Arial" w:cs="Arial"/>
          <w:sz w:val="24"/>
          <w:szCs w:val="24"/>
        </w:rPr>
      </w:pPr>
      <w:r>
        <w:rPr>
          <w:rFonts w:ascii="Arial" w:hAnsi="Arial" w:cs="Arial"/>
          <w:sz w:val="24"/>
          <w:szCs w:val="24"/>
        </w:rPr>
        <w:t>The cumulative temporary difference is expected to reverse evenly over the next four years.</w:t>
      </w:r>
    </w:p>
    <w:p w:rsidR="00CC380B" w:rsidRDefault="00CC380B" w:rsidP="00496E70">
      <w:pPr>
        <w:pStyle w:val="NoSpacing"/>
        <w:rPr>
          <w:rFonts w:ascii="Arial" w:hAnsi="Arial" w:cs="Arial"/>
          <w:sz w:val="24"/>
          <w:szCs w:val="24"/>
        </w:rPr>
      </w:pPr>
    </w:p>
    <w:p w:rsidR="00CC380B" w:rsidRDefault="00CC380B" w:rsidP="00496E70">
      <w:pPr>
        <w:pStyle w:val="NoSpacing"/>
        <w:rPr>
          <w:rFonts w:ascii="Arial" w:hAnsi="Arial" w:cs="Arial"/>
          <w:sz w:val="24"/>
          <w:szCs w:val="24"/>
        </w:rPr>
      </w:pPr>
      <w:r>
        <w:rPr>
          <w:rFonts w:ascii="Arial" w:hAnsi="Arial" w:cs="Arial"/>
          <w:sz w:val="24"/>
          <w:szCs w:val="24"/>
        </w:rPr>
        <w:t>The tax rate is expected to remain unchanged for the foreseeable future.</w:t>
      </w:r>
    </w:p>
    <w:p w:rsidR="00496E70" w:rsidRDefault="00496E70" w:rsidP="00496E70">
      <w:pPr>
        <w:pStyle w:val="NoSpacing"/>
        <w:rPr>
          <w:rFonts w:ascii="Arial" w:hAnsi="Arial" w:cs="Arial"/>
          <w:sz w:val="24"/>
          <w:szCs w:val="24"/>
        </w:rPr>
      </w:pPr>
    </w:p>
    <w:p w:rsidR="00496E70" w:rsidRDefault="00D241B9" w:rsidP="00496E70">
      <w:pPr>
        <w:pStyle w:val="NoSpacing"/>
        <w:rPr>
          <w:rFonts w:ascii="Arial" w:hAnsi="Arial" w:cs="Arial"/>
          <w:sz w:val="24"/>
          <w:szCs w:val="24"/>
        </w:rPr>
      </w:pPr>
      <w:r w:rsidRPr="00D241B9">
        <w:rPr>
          <w:rFonts w:ascii="Arial" w:eastAsiaTheme="minorEastAsia" w:hAnsi="Arial" w:cs="Arial"/>
          <w:color w:val="000000"/>
          <w:sz w:val="24"/>
          <w:szCs w:val="24"/>
        </w:rPr>
        <w:t>OMV Company</w:t>
      </w:r>
      <w:r w:rsidR="00496E70">
        <w:rPr>
          <w:rFonts w:ascii="Arial" w:hAnsi="Arial" w:cs="Arial"/>
          <w:sz w:val="24"/>
          <w:szCs w:val="24"/>
        </w:rPr>
        <w:t xml:space="preserve"> closes its accounting year on December 31.</w:t>
      </w:r>
    </w:p>
    <w:p w:rsidR="00496E70" w:rsidRDefault="00496E70" w:rsidP="00496E70">
      <w:pPr>
        <w:pStyle w:val="NoSpacing"/>
        <w:rPr>
          <w:rFonts w:ascii="Arial" w:hAnsi="Arial" w:cs="Arial"/>
          <w:sz w:val="24"/>
          <w:szCs w:val="24"/>
        </w:rPr>
      </w:pPr>
    </w:p>
    <w:p w:rsidR="00496E70" w:rsidRPr="00496E70" w:rsidRDefault="00496E70" w:rsidP="00496E70">
      <w:pPr>
        <w:pStyle w:val="NoSpacing"/>
        <w:rPr>
          <w:rFonts w:ascii="Arial" w:hAnsi="Arial" w:cs="Arial"/>
          <w:sz w:val="24"/>
          <w:szCs w:val="24"/>
        </w:rPr>
      </w:pPr>
      <w:r w:rsidRPr="00496E70">
        <w:rPr>
          <w:rFonts w:ascii="Arial" w:hAnsi="Arial" w:cs="Arial"/>
          <w:sz w:val="24"/>
          <w:szCs w:val="24"/>
        </w:rPr>
        <w:t>Instructions:</w:t>
      </w:r>
    </w:p>
    <w:p w:rsidR="00496E70" w:rsidRPr="00496E70" w:rsidRDefault="00496E70" w:rsidP="00496E70">
      <w:pPr>
        <w:pStyle w:val="NoSpacing"/>
        <w:rPr>
          <w:rFonts w:ascii="Arial" w:hAnsi="Arial" w:cs="Arial"/>
          <w:sz w:val="24"/>
          <w:szCs w:val="24"/>
        </w:rPr>
      </w:pPr>
    </w:p>
    <w:p w:rsidR="00E6382F" w:rsidRDefault="00496E70" w:rsidP="00496E70">
      <w:pPr>
        <w:pStyle w:val="NoSpacing"/>
        <w:numPr>
          <w:ilvl w:val="0"/>
          <w:numId w:val="6"/>
        </w:numPr>
        <w:rPr>
          <w:rFonts w:ascii="Arial" w:hAnsi="Arial" w:cs="Arial"/>
          <w:sz w:val="24"/>
          <w:szCs w:val="24"/>
        </w:rPr>
      </w:pPr>
      <w:r w:rsidRPr="00496E70">
        <w:rPr>
          <w:rFonts w:ascii="Arial" w:hAnsi="Arial" w:cs="Arial"/>
          <w:sz w:val="24"/>
          <w:szCs w:val="24"/>
        </w:rPr>
        <w:t xml:space="preserve">Compute income taxes payable for </w:t>
      </w:r>
      <w:r w:rsidR="00D241B9" w:rsidRPr="00D241B9">
        <w:rPr>
          <w:rFonts w:ascii="Arial" w:eastAsiaTheme="minorEastAsia" w:hAnsi="Arial" w:cs="Arial"/>
          <w:color w:val="000000"/>
          <w:sz w:val="24"/>
          <w:szCs w:val="24"/>
        </w:rPr>
        <w:t>2013</w:t>
      </w:r>
      <w:r>
        <w:rPr>
          <w:rFonts w:ascii="Arial" w:hAnsi="Arial" w:cs="Arial"/>
          <w:sz w:val="24"/>
          <w:szCs w:val="24"/>
        </w:rPr>
        <w:t>.</w:t>
      </w:r>
      <w:r>
        <w:rPr>
          <w:rFonts w:ascii="Arial" w:hAnsi="Arial" w:cs="Arial"/>
          <w:sz w:val="24"/>
          <w:szCs w:val="24"/>
        </w:rPr>
        <w:br/>
      </w:r>
    </w:p>
    <w:p w:rsidR="00496E70" w:rsidRDefault="00496E70" w:rsidP="00496E70">
      <w:pPr>
        <w:pStyle w:val="NoSpacing"/>
        <w:numPr>
          <w:ilvl w:val="0"/>
          <w:numId w:val="6"/>
        </w:numPr>
        <w:rPr>
          <w:rFonts w:ascii="Arial" w:hAnsi="Arial" w:cs="Arial"/>
          <w:sz w:val="24"/>
          <w:szCs w:val="24"/>
        </w:rPr>
      </w:pPr>
      <w:r>
        <w:rPr>
          <w:rFonts w:ascii="Arial" w:hAnsi="Arial" w:cs="Arial"/>
          <w:sz w:val="24"/>
          <w:szCs w:val="24"/>
        </w:rPr>
        <w:t xml:space="preserve">Prepare the journal entry for </w:t>
      </w:r>
      <w:r w:rsidR="00D241B9" w:rsidRPr="00D241B9">
        <w:rPr>
          <w:rFonts w:ascii="Arial" w:eastAsiaTheme="minorEastAsia" w:hAnsi="Arial" w:cs="Arial"/>
          <w:color w:val="000000"/>
          <w:sz w:val="24"/>
          <w:szCs w:val="24"/>
        </w:rPr>
        <w:t>2013</w:t>
      </w:r>
      <w:r>
        <w:rPr>
          <w:rFonts w:ascii="Arial" w:hAnsi="Arial" w:cs="Arial"/>
          <w:sz w:val="24"/>
          <w:szCs w:val="24"/>
        </w:rPr>
        <w:t xml:space="preserve"> to record the following:</w:t>
      </w:r>
      <w:r>
        <w:rPr>
          <w:rFonts w:ascii="Arial" w:hAnsi="Arial" w:cs="Arial"/>
          <w:sz w:val="24"/>
          <w:szCs w:val="24"/>
        </w:rPr>
        <w:br/>
      </w:r>
    </w:p>
    <w:p w:rsidR="00496E70" w:rsidRDefault="00496E70" w:rsidP="00496E70">
      <w:pPr>
        <w:pStyle w:val="NoSpacing"/>
        <w:numPr>
          <w:ilvl w:val="1"/>
          <w:numId w:val="6"/>
        </w:numPr>
        <w:rPr>
          <w:rFonts w:ascii="Arial" w:hAnsi="Arial" w:cs="Arial"/>
          <w:sz w:val="24"/>
          <w:szCs w:val="24"/>
        </w:rPr>
      </w:pPr>
      <w:r>
        <w:rPr>
          <w:rFonts w:ascii="Arial" w:hAnsi="Arial" w:cs="Arial"/>
          <w:sz w:val="24"/>
          <w:szCs w:val="24"/>
        </w:rPr>
        <w:t>Income tax expense</w:t>
      </w:r>
    </w:p>
    <w:p w:rsidR="00496E70" w:rsidRDefault="00496E70" w:rsidP="00496E70">
      <w:pPr>
        <w:pStyle w:val="NoSpacing"/>
        <w:numPr>
          <w:ilvl w:val="1"/>
          <w:numId w:val="6"/>
        </w:numPr>
        <w:rPr>
          <w:rFonts w:ascii="Arial" w:hAnsi="Arial" w:cs="Arial"/>
          <w:sz w:val="24"/>
          <w:szCs w:val="24"/>
        </w:rPr>
      </w:pPr>
      <w:r>
        <w:rPr>
          <w:rFonts w:ascii="Arial" w:hAnsi="Arial" w:cs="Arial"/>
          <w:sz w:val="24"/>
          <w:szCs w:val="24"/>
        </w:rPr>
        <w:t>Deferred income taxes</w:t>
      </w:r>
    </w:p>
    <w:p w:rsidR="00496E70" w:rsidRDefault="00496E70" w:rsidP="00496E70">
      <w:pPr>
        <w:pStyle w:val="NoSpacing"/>
        <w:numPr>
          <w:ilvl w:val="1"/>
          <w:numId w:val="6"/>
        </w:numPr>
        <w:rPr>
          <w:rFonts w:ascii="Arial" w:hAnsi="Arial" w:cs="Arial"/>
          <w:sz w:val="24"/>
          <w:szCs w:val="24"/>
        </w:rPr>
      </w:pPr>
      <w:r>
        <w:rPr>
          <w:rFonts w:ascii="Arial" w:hAnsi="Arial" w:cs="Arial"/>
          <w:sz w:val="24"/>
          <w:szCs w:val="24"/>
        </w:rPr>
        <w:t>Income taxes payable</w:t>
      </w:r>
      <w:r>
        <w:rPr>
          <w:rFonts w:ascii="Arial" w:hAnsi="Arial" w:cs="Arial"/>
          <w:sz w:val="24"/>
          <w:szCs w:val="24"/>
        </w:rPr>
        <w:br/>
      </w:r>
    </w:p>
    <w:p w:rsidR="00496E70" w:rsidRPr="00496E70" w:rsidRDefault="00496E70" w:rsidP="00496E70">
      <w:pPr>
        <w:pStyle w:val="NoSpacing"/>
        <w:numPr>
          <w:ilvl w:val="0"/>
          <w:numId w:val="6"/>
        </w:numPr>
        <w:rPr>
          <w:rFonts w:ascii="Arial" w:hAnsi="Arial" w:cs="Arial"/>
          <w:sz w:val="24"/>
          <w:szCs w:val="24"/>
        </w:rPr>
      </w:pPr>
      <w:r>
        <w:rPr>
          <w:rFonts w:ascii="Arial" w:hAnsi="Arial" w:cs="Arial"/>
          <w:sz w:val="24"/>
          <w:szCs w:val="24"/>
        </w:rPr>
        <w:t>Prepare a partial income statement beginning with “Income before income taxes” and ending with “Net income”.</w:t>
      </w:r>
    </w:p>
    <w:p w:rsidR="00496E70" w:rsidRDefault="00496E70" w:rsidP="00496E70">
      <w:pPr>
        <w:pStyle w:val="NoSpacing"/>
        <w:rPr>
          <w:rFonts w:ascii="Arial" w:hAnsi="Arial" w:cs="Arial"/>
          <w:sz w:val="24"/>
          <w:szCs w:val="24"/>
        </w:rPr>
      </w:pPr>
    </w:p>
    <w:p w:rsidR="00CC380B" w:rsidRDefault="00CC380B">
      <w:pPr>
        <w:rPr>
          <w:rFonts w:ascii="Arial" w:eastAsiaTheme="minorHAnsi" w:hAnsi="Arial" w:cs="Arial"/>
          <w:sz w:val="24"/>
          <w:szCs w:val="24"/>
        </w:rPr>
      </w:pPr>
      <w:r>
        <w:rPr>
          <w:rFonts w:ascii="Arial" w:hAnsi="Arial" w:cs="Arial"/>
          <w:sz w:val="24"/>
          <w:szCs w:val="24"/>
        </w:rPr>
        <w:br w:type="page"/>
      </w:r>
    </w:p>
    <w:p w:rsidR="00C6700B" w:rsidRPr="00496E70" w:rsidRDefault="00C6700B" w:rsidP="00C6700B">
      <w:pPr>
        <w:pStyle w:val="NoSpacing"/>
        <w:rPr>
          <w:rFonts w:ascii="Arial" w:eastAsia="Calibri" w:hAnsi="Arial" w:cs="Arial"/>
          <w:b/>
          <w:bCs/>
          <w:sz w:val="24"/>
          <w:szCs w:val="24"/>
        </w:rPr>
      </w:pPr>
      <w:r w:rsidRPr="00496E70">
        <w:rPr>
          <w:rFonts w:ascii="Arial" w:eastAsia="Calibri" w:hAnsi="Arial" w:cs="Arial"/>
          <w:b/>
          <w:bCs/>
          <w:sz w:val="24"/>
          <w:szCs w:val="24"/>
          <w:u w:val="single"/>
        </w:rPr>
        <w:lastRenderedPageBreak/>
        <w:t xml:space="preserve">Problem </w:t>
      </w:r>
      <w:r>
        <w:rPr>
          <w:rFonts w:ascii="Arial" w:eastAsia="Calibri" w:hAnsi="Arial" w:cs="Arial"/>
          <w:b/>
          <w:bCs/>
          <w:sz w:val="24"/>
          <w:szCs w:val="24"/>
          <w:u w:val="single"/>
        </w:rPr>
        <w:t>2</w:t>
      </w:r>
      <w:r w:rsidRPr="00496E70">
        <w:rPr>
          <w:rFonts w:ascii="Arial" w:eastAsia="Calibri" w:hAnsi="Arial" w:cs="Arial"/>
          <w:b/>
          <w:bCs/>
          <w:sz w:val="24"/>
          <w:szCs w:val="24"/>
          <w:u w:val="single"/>
        </w:rPr>
        <w:t>:</w:t>
      </w:r>
      <w:r w:rsidRPr="00496E70">
        <w:rPr>
          <w:rFonts w:ascii="Arial" w:eastAsia="Calibri" w:hAnsi="Arial" w:cs="Arial"/>
          <w:b/>
          <w:bCs/>
          <w:sz w:val="24"/>
          <w:szCs w:val="24"/>
        </w:rPr>
        <w:t xml:space="preserve"> </w:t>
      </w:r>
    </w:p>
    <w:p w:rsidR="00C6700B" w:rsidRPr="00496E70" w:rsidRDefault="00C6700B" w:rsidP="00C6700B">
      <w:pPr>
        <w:pStyle w:val="NoSpacing"/>
        <w:rPr>
          <w:rFonts w:ascii="Arial" w:eastAsia="Calibri" w:hAnsi="Arial" w:cs="Arial"/>
          <w:sz w:val="24"/>
          <w:szCs w:val="24"/>
        </w:rPr>
      </w:pPr>
    </w:p>
    <w:p w:rsidR="00C6700B" w:rsidRDefault="00C6700B" w:rsidP="00C6700B">
      <w:pPr>
        <w:pStyle w:val="NoSpacing"/>
        <w:rPr>
          <w:rFonts w:ascii="Arial" w:hAnsi="Arial" w:cs="Arial"/>
          <w:sz w:val="24"/>
          <w:szCs w:val="24"/>
        </w:rPr>
      </w:pPr>
      <w:r>
        <w:rPr>
          <w:rFonts w:ascii="Arial" w:hAnsi="Arial" w:cs="Arial"/>
          <w:sz w:val="24"/>
          <w:szCs w:val="24"/>
        </w:rPr>
        <w:t>Consider each of the following independent items that may affect the reporting of net income for tax purposes versus the reporting of net income for financial reporting purposes.</w:t>
      </w:r>
    </w:p>
    <w:p w:rsidR="00C6700B" w:rsidRDefault="00C6700B" w:rsidP="00C6700B">
      <w:pPr>
        <w:pStyle w:val="NoSpacing"/>
        <w:rPr>
          <w:rFonts w:ascii="Arial" w:hAnsi="Arial" w:cs="Arial"/>
          <w:sz w:val="24"/>
          <w:szCs w:val="24"/>
        </w:rPr>
      </w:pPr>
    </w:p>
    <w:p w:rsidR="00C6700B" w:rsidRDefault="00C6700B" w:rsidP="00C6700B">
      <w:pPr>
        <w:pStyle w:val="NoSpacing"/>
        <w:numPr>
          <w:ilvl w:val="0"/>
          <w:numId w:val="7"/>
        </w:numPr>
        <w:rPr>
          <w:rFonts w:ascii="Arial" w:hAnsi="Arial" w:cs="Arial"/>
          <w:sz w:val="24"/>
          <w:szCs w:val="24"/>
        </w:rPr>
      </w:pPr>
      <w:r>
        <w:rPr>
          <w:rFonts w:ascii="Arial" w:hAnsi="Arial" w:cs="Arial"/>
          <w:sz w:val="24"/>
          <w:szCs w:val="24"/>
        </w:rPr>
        <w:t>A corporation received a payment from a life insurance policy due to the death of a corporate officer.  It is the corporation’s policy to carry life insurance policies on key officers of the company.</w:t>
      </w:r>
      <w:r>
        <w:rPr>
          <w:rFonts w:ascii="Arial" w:hAnsi="Arial" w:cs="Arial"/>
          <w:sz w:val="24"/>
          <w:szCs w:val="24"/>
        </w:rPr>
        <w:br/>
      </w:r>
    </w:p>
    <w:p w:rsidR="00C6700B" w:rsidRDefault="00C6700B" w:rsidP="00C6700B">
      <w:pPr>
        <w:pStyle w:val="NoSpacing"/>
        <w:numPr>
          <w:ilvl w:val="0"/>
          <w:numId w:val="7"/>
        </w:numPr>
        <w:rPr>
          <w:rFonts w:ascii="Arial" w:hAnsi="Arial" w:cs="Arial"/>
          <w:sz w:val="24"/>
          <w:szCs w:val="24"/>
        </w:rPr>
      </w:pPr>
      <w:r>
        <w:rPr>
          <w:rFonts w:ascii="Arial" w:hAnsi="Arial" w:cs="Arial"/>
          <w:sz w:val="24"/>
          <w:szCs w:val="24"/>
        </w:rPr>
        <w:t xml:space="preserve">The </w:t>
      </w:r>
      <w:r w:rsidR="00D241B9" w:rsidRPr="00D241B9">
        <w:rPr>
          <w:rFonts w:ascii="Arial" w:eastAsiaTheme="minorEastAsia" w:hAnsi="Arial" w:cs="Arial"/>
          <w:color w:val="000000"/>
          <w:sz w:val="24"/>
          <w:szCs w:val="24"/>
        </w:rPr>
        <w:t>OSN Company</w:t>
      </w:r>
      <w:r>
        <w:rPr>
          <w:rFonts w:ascii="Arial" w:hAnsi="Arial" w:cs="Arial"/>
          <w:sz w:val="24"/>
          <w:szCs w:val="24"/>
        </w:rPr>
        <w:t xml:space="preserve"> received payments for magazines that will be published and sent to customers next year.</w:t>
      </w:r>
      <w:r>
        <w:rPr>
          <w:rFonts w:ascii="Arial" w:hAnsi="Arial" w:cs="Arial"/>
          <w:sz w:val="24"/>
          <w:szCs w:val="24"/>
        </w:rPr>
        <w:br/>
      </w:r>
    </w:p>
    <w:p w:rsidR="00C6700B" w:rsidRDefault="00C6700B" w:rsidP="00C6700B">
      <w:pPr>
        <w:pStyle w:val="NoSpacing"/>
        <w:numPr>
          <w:ilvl w:val="0"/>
          <w:numId w:val="7"/>
        </w:numPr>
        <w:rPr>
          <w:rFonts w:ascii="Arial" w:hAnsi="Arial" w:cs="Arial"/>
          <w:sz w:val="24"/>
          <w:szCs w:val="24"/>
        </w:rPr>
      </w:pPr>
      <w:r>
        <w:rPr>
          <w:rFonts w:ascii="Arial" w:hAnsi="Arial" w:cs="Arial"/>
          <w:sz w:val="24"/>
          <w:szCs w:val="24"/>
        </w:rPr>
        <w:t>A company has properly estimated and recorded the amount of expense it will incur under the return of products for repair or replacement under the products’ three year warranty.</w:t>
      </w:r>
      <w:r>
        <w:rPr>
          <w:rFonts w:ascii="Arial" w:hAnsi="Arial" w:cs="Arial"/>
          <w:sz w:val="24"/>
          <w:szCs w:val="24"/>
        </w:rPr>
        <w:br/>
      </w:r>
    </w:p>
    <w:p w:rsidR="00C6700B" w:rsidRDefault="00C6700B" w:rsidP="00C6700B">
      <w:pPr>
        <w:pStyle w:val="NoSpacing"/>
        <w:numPr>
          <w:ilvl w:val="0"/>
          <w:numId w:val="7"/>
        </w:numPr>
        <w:rPr>
          <w:rFonts w:ascii="Arial" w:hAnsi="Arial" w:cs="Arial"/>
          <w:sz w:val="24"/>
          <w:szCs w:val="24"/>
        </w:rPr>
      </w:pPr>
      <w:r>
        <w:rPr>
          <w:rFonts w:ascii="Arial" w:hAnsi="Arial" w:cs="Arial"/>
          <w:sz w:val="24"/>
          <w:szCs w:val="24"/>
        </w:rPr>
        <w:t>A company was sued as a result of a traffic accident involving one of its delivery trucks.  The suit will not come to trial until the following year but the company’s attorneys have estimated that it is likely the company will have to pay a significant sum.  As a result, the company has properly recorded a contingent liability expense.</w:t>
      </w:r>
      <w:r>
        <w:rPr>
          <w:rFonts w:ascii="Arial" w:hAnsi="Arial" w:cs="Arial"/>
          <w:sz w:val="24"/>
          <w:szCs w:val="24"/>
        </w:rPr>
        <w:br/>
      </w:r>
    </w:p>
    <w:p w:rsidR="00C6700B" w:rsidRDefault="00C6700B" w:rsidP="00C6700B">
      <w:pPr>
        <w:pStyle w:val="NoSpacing"/>
        <w:numPr>
          <w:ilvl w:val="0"/>
          <w:numId w:val="7"/>
        </w:numPr>
        <w:rPr>
          <w:rFonts w:ascii="Arial" w:hAnsi="Arial" w:cs="Arial"/>
          <w:sz w:val="24"/>
          <w:szCs w:val="24"/>
        </w:rPr>
      </w:pPr>
      <w:r>
        <w:rPr>
          <w:rFonts w:ascii="Arial" w:hAnsi="Arial" w:cs="Arial"/>
          <w:sz w:val="24"/>
          <w:szCs w:val="24"/>
        </w:rPr>
        <w:t>As a result of the traffic accident in number 4, the company was fined for operating an unsafe vehicle.</w:t>
      </w:r>
      <w:r>
        <w:rPr>
          <w:rFonts w:ascii="Arial" w:hAnsi="Arial" w:cs="Arial"/>
          <w:sz w:val="24"/>
          <w:szCs w:val="24"/>
        </w:rPr>
        <w:br/>
      </w:r>
    </w:p>
    <w:p w:rsidR="00C6700B" w:rsidRDefault="00C6700B" w:rsidP="00C6700B">
      <w:pPr>
        <w:pStyle w:val="NoSpacing"/>
        <w:numPr>
          <w:ilvl w:val="0"/>
          <w:numId w:val="7"/>
        </w:numPr>
        <w:rPr>
          <w:rFonts w:ascii="Arial" w:hAnsi="Arial" w:cs="Arial"/>
          <w:sz w:val="24"/>
          <w:szCs w:val="24"/>
        </w:rPr>
      </w:pPr>
      <w:r>
        <w:rPr>
          <w:rFonts w:ascii="Arial" w:hAnsi="Arial" w:cs="Arial"/>
          <w:sz w:val="24"/>
          <w:szCs w:val="24"/>
        </w:rPr>
        <w:t>A company paid an insurance premium for fire protection on their factory the next fiscal year.</w:t>
      </w:r>
      <w:r>
        <w:rPr>
          <w:rFonts w:ascii="Arial" w:hAnsi="Arial" w:cs="Arial"/>
          <w:sz w:val="24"/>
          <w:szCs w:val="24"/>
        </w:rPr>
        <w:br/>
      </w:r>
    </w:p>
    <w:p w:rsidR="00C6700B" w:rsidRDefault="00C6700B" w:rsidP="00C6700B">
      <w:pPr>
        <w:pStyle w:val="NoSpacing"/>
        <w:numPr>
          <w:ilvl w:val="0"/>
          <w:numId w:val="7"/>
        </w:numPr>
        <w:rPr>
          <w:rFonts w:ascii="Arial" w:hAnsi="Arial" w:cs="Arial"/>
          <w:sz w:val="24"/>
          <w:szCs w:val="24"/>
        </w:rPr>
      </w:pPr>
      <w:r>
        <w:rPr>
          <w:rFonts w:ascii="Arial" w:hAnsi="Arial" w:cs="Arial"/>
          <w:sz w:val="24"/>
          <w:szCs w:val="24"/>
        </w:rPr>
        <w:t xml:space="preserve">The receipt of interest income from the investment in bonds issued by the City of Springfield to raise funds to be used in a public works project. </w:t>
      </w:r>
      <w:r>
        <w:rPr>
          <w:rFonts w:ascii="Arial" w:hAnsi="Arial" w:cs="Arial"/>
          <w:sz w:val="24"/>
          <w:szCs w:val="24"/>
        </w:rPr>
        <w:br/>
      </w:r>
    </w:p>
    <w:p w:rsidR="00C6700B" w:rsidRDefault="00C6700B" w:rsidP="00C6700B">
      <w:pPr>
        <w:pStyle w:val="NoSpacing"/>
        <w:numPr>
          <w:ilvl w:val="0"/>
          <w:numId w:val="7"/>
        </w:numPr>
        <w:rPr>
          <w:rFonts w:ascii="Arial" w:hAnsi="Arial" w:cs="Arial"/>
          <w:sz w:val="24"/>
          <w:szCs w:val="24"/>
        </w:rPr>
      </w:pPr>
      <w:r>
        <w:rPr>
          <w:rFonts w:ascii="Arial" w:hAnsi="Arial" w:cs="Arial"/>
          <w:sz w:val="24"/>
          <w:szCs w:val="24"/>
        </w:rPr>
        <w:t>As a company benefit, the company provides life insurance to all of its employees and pays the full premium.  Each employee designates the beneficiary of his or her individual policy.</w:t>
      </w:r>
      <w:r>
        <w:rPr>
          <w:rFonts w:ascii="Arial" w:hAnsi="Arial" w:cs="Arial"/>
          <w:sz w:val="24"/>
          <w:szCs w:val="24"/>
        </w:rPr>
        <w:br/>
      </w:r>
    </w:p>
    <w:p w:rsidR="00C6700B" w:rsidRDefault="00C6700B" w:rsidP="00C6700B">
      <w:pPr>
        <w:pStyle w:val="NoSpacing"/>
        <w:numPr>
          <w:ilvl w:val="0"/>
          <w:numId w:val="7"/>
        </w:numPr>
        <w:rPr>
          <w:rFonts w:ascii="Arial" w:hAnsi="Arial" w:cs="Arial"/>
          <w:sz w:val="24"/>
          <w:szCs w:val="24"/>
        </w:rPr>
      </w:pPr>
      <w:r>
        <w:rPr>
          <w:rFonts w:ascii="Arial" w:hAnsi="Arial" w:cs="Arial"/>
          <w:sz w:val="24"/>
          <w:szCs w:val="24"/>
        </w:rPr>
        <w:t>A company grants stock options to key employees under which they may purchase company stock in the next year at a discount from the current market price of the stock.  The company properly records the estimate of cost in the current fiscal year.</w:t>
      </w:r>
      <w:r>
        <w:rPr>
          <w:rFonts w:ascii="Arial" w:hAnsi="Arial" w:cs="Arial"/>
          <w:sz w:val="24"/>
          <w:szCs w:val="24"/>
        </w:rPr>
        <w:br/>
      </w:r>
    </w:p>
    <w:p w:rsidR="00C6700B" w:rsidRDefault="00C6700B" w:rsidP="00C6700B">
      <w:pPr>
        <w:pStyle w:val="NoSpacing"/>
        <w:numPr>
          <w:ilvl w:val="0"/>
          <w:numId w:val="7"/>
        </w:numPr>
        <w:rPr>
          <w:rFonts w:ascii="Arial" w:hAnsi="Arial" w:cs="Arial"/>
          <w:sz w:val="24"/>
          <w:szCs w:val="24"/>
        </w:rPr>
      </w:pPr>
      <w:r>
        <w:rPr>
          <w:rFonts w:ascii="Arial" w:hAnsi="Arial" w:cs="Arial"/>
          <w:sz w:val="24"/>
          <w:szCs w:val="24"/>
        </w:rPr>
        <w:t xml:space="preserve">Depreciation expense for tax purposes amounted to </w:t>
      </w:r>
      <w:r w:rsidR="00D241B9" w:rsidRPr="00D241B9">
        <w:rPr>
          <w:rFonts w:ascii="Arial" w:eastAsiaTheme="minorEastAsia" w:hAnsi="Arial" w:cs="Arial"/>
          <w:color w:val="000000"/>
          <w:sz w:val="24"/>
          <w:szCs w:val="24"/>
        </w:rPr>
        <w:t>$207,000</w:t>
      </w:r>
      <w:r>
        <w:rPr>
          <w:rFonts w:ascii="Arial" w:hAnsi="Arial" w:cs="Arial"/>
          <w:sz w:val="24"/>
          <w:szCs w:val="24"/>
        </w:rPr>
        <w:t xml:space="preserve">.  The company reported total depreciation on its income statement in the amount of </w:t>
      </w:r>
      <w:r w:rsidR="00D241B9" w:rsidRPr="00D241B9">
        <w:rPr>
          <w:rFonts w:ascii="Arial" w:eastAsiaTheme="minorEastAsia" w:hAnsi="Arial" w:cs="Arial"/>
          <w:color w:val="000000"/>
          <w:sz w:val="24"/>
          <w:szCs w:val="24"/>
        </w:rPr>
        <w:t>$152,000</w:t>
      </w:r>
      <w:r>
        <w:rPr>
          <w:rFonts w:ascii="Arial" w:hAnsi="Arial" w:cs="Arial"/>
          <w:sz w:val="24"/>
          <w:szCs w:val="24"/>
        </w:rPr>
        <w:t>.</w:t>
      </w:r>
    </w:p>
    <w:p w:rsidR="00C6700B" w:rsidRDefault="00C6700B" w:rsidP="00C6700B">
      <w:pPr>
        <w:pStyle w:val="NoSpacing"/>
        <w:rPr>
          <w:rFonts w:ascii="Arial" w:hAnsi="Arial" w:cs="Arial"/>
          <w:sz w:val="24"/>
          <w:szCs w:val="24"/>
        </w:rPr>
      </w:pPr>
    </w:p>
    <w:p w:rsidR="00C6700B" w:rsidRDefault="00C6700B" w:rsidP="00C6700B">
      <w:pPr>
        <w:pStyle w:val="NoSpacing"/>
        <w:rPr>
          <w:rFonts w:ascii="Arial" w:hAnsi="Arial" w:cs="Arial"/>
          <w:sz w:val="24"/>
          <w:szCs w:val="24"/>
        </w:rPr>
      </w:pPr>
      <w:r>
        <w:rPr>
          <w:rFonts w:ascii="Arial" w:hAnsi="Arial" w:cs="Arial"/>
          <w:sz w:val="24"/>
          <w:szCs w:val="24"/>
        </w:rPr>
        <w:br w:type="page"/>
      </w:r>
      <w:r>
        <w:rPr>
          <w:rFonts w:ascii="Arial" w:hAnsi="Arial" w:cs="Arial"/>
          <w:sz w:val="24"/>
          <w:szCs w:val="24"/>
        </w:rPr>
        <w:lastRenderedPageBreak/>
        <w:t>Instructions:</w:t>
      </w:r>
    </w:p>
    <w:p w:rsidR="00222438" w:rsidRDefault="00222438" w:rsidP="00C6700B">
      <w:pPr>
        <w:pStyle w:val="NoSpacing"/>
        <w:rPr>
          <w:rFonts w:ascii="Arial" w:hAnsi="Arial" w:cs="Arial"/>
          <w:sz w:val="24"/>
          <w:szCs w:val="24"/>
        </w:rPr>
      </w:pPr>
    </w:p>
    <w:p w:rsidR="00222438" w:rsidRDefault="00222438" w:rsidP="00C6700B">
      <w:pPr>
        <w:pStyle w:val="NoSpacing"/>
        <w:rPr>
          <w:rFonts w:ascii="Arial" w:hAnsi="Arial" w:cs="Arial"/>
          <w:sz w:val="24"/>
          <w:szCs w:val="24"/>
        </w:rPr>
      </w:pPr>
      <w:r>
        <w:rPr>
          <w:rFonts w:ascii="Arial" w:hAnsi="Arial" w:cs="Arial"/>
          <w:sz w:val="24"/>
          <w:szCs w:val="24"/>
        </w:rPr>
        <w:t>For each of the above independent situations:</w:t>
      </w:r>
    </w:p>
    <w:p w:rsidR="00222438" w:rsidRDefault="00222438" w:rsidP="00C6700B">
      <w:pPr>
        <w:pStyle w:val="NoSpacing"/>
        <w:rPr>
          <w:rFonts w:ascii="Arial" w:hAnsi="Arial" w:cs="Arial"/>
          <w:sz w:val="24"/>
          <w:szCs w:val="24"/>
        </w:rPr>
      </w:pPr>
    </w:p>
    <w:p w:rsidR="00222438" w:rsidRDefault="00222438" w:rsidP="00222438">
      <w:pPr>
        <w:pStyle w:val="NoSpacing"/>
        <w:numPr>
          <w:ilvl w:val="0"/>
          <w:numId w:val="10"/>
        </w:numPr>
        <w:rPr>
          <w:rFonts w:ascii="Arial" w:hAnsi="Arial" w:cs="Arial"/>
          <w:sz w:val="24"/>
          <w:szCs w:val="24"/>
        </w:rPr>
      </w:pPr>
      <w:r>
        <w:rPr>
          <w:rFonts w:ascii="Arial" w:hAnsi="Arial" w:cs="Arial"/>
          <w:sz w:val="24"/>
          <w:szCs w:val="24"/>
        </w:rPr>
        <w:t>Identify if the item results in:</w:t>
      </w:r>
      <w:r>
        <w:rPr>
          <w:rFonts w:ascii="Arial" w:hAnsi="Arial" w:cs="Arial"/>
          <w:sz w:val="24"/>
          <w:szCs w:val="24"/>
        </w:rPr>
        <w:br/>
      </w:r>
    </w:p>
    <w:p w:rsidR="00222438" w:rsidRDefault="00222438" w:rsidP="00222438">
      <w:pPr>
        <w:pStyle w:val="NoSpacing"/>
        <w:numPr>
          <w:ilvl w:val="1"/>
          <w:numId w:val="10"/>
        </w:numPr>
        <w:rPr>
          <w:rFonts w:ascii="Arial" w:hAnsi="Arial" w:cs="Arial"/>
          <w:sz w:val="24"/>
          <w:szCs w:val="24"/>
        </w:rPr>
      </w:pPr>
      <w:r>
        <w:rPr>
          <w:rFonts w:ascii="Arial" w:hAnsi="Arial" w:cs="Arial"/>
          <w:sz w:val="24"/>
          <w:szCs w:val="24"/>
        </w:rPr>
        <w:t>No difference between financial reporting purposes and tax purposes.</w:t>
      </w:r>
    </w:p>
    <w:p w:rsidR="00222438" w:rsidRDefault="00222438" w:rsidP="00222438">
      <w:pPr>
        <w:pStyle w:val="NoSpacing"/>
        <w:numPr>
          <w:ilvl w:val="1"/>
          <w:numId w:val="10"/>
        </w:numPr>
        <w:rPr>
          <w:rFonts w:ascii="Arial" w:hAnsi="Arial" w:cs="Arial"/>
          <w:sz w:val="24"/>
          <w:szCs w:val="24"/>
        </w:rPr>
      </w:pPr>
      <w:r>
        <w:rPr>
          <w:rFonts w:ascii="Arial" w:hAnsi="Arial" w:cs="Arial"/>
          <w:sz w:val="24"/>
          <w:szCs w:val="24"/>
        </w:rPr>
        <w:t>A temporary difference between financial reporting purposes and tax purposes.</w:t>
      </w:r>
    </w:p>
    <w:p w:rsidR="00222438" w:rsidRDefault="00222438" w:rsidP="00222438">
      <w:pPr>
        <w:pStyle w:val="NoSpacing"/>
        <w:numPr>
          <w:ilvl w:val="1"/>
          <w:numId w:val="10"/>
        </w:numPr>
        <w:rPr>
          <w:rFonts w:ascii="Arial" w:hAnsi="Arial" w:cs="Arial"/>
          <w:sz w:val="24"/>
          <w:szCs w:val="24"/>
        </w:rPr>
      </w:pPr>
      <w:r>
        <w:rPr>
          <w:rFonts w:ascii="Arial" w:hAnsi="Arial" w:cs="Arial"/>
          <w:sz w:val="24"/>
          <w:szCs w:val="24"/>
        </w:rPr>
        <w:t>A permanent difference between financial reporting purposes and tax purposes.</w:t>
      </w:r>
    </w:p>
    <w:p w:rsidR="00222438" w:rsidRDefault="00222438" w:rsidP="00C6700B">
      <w:pPr>
        <w:pStyle w:val="NoSpacing"/>
        <w:rPr>
          <w:rFonts w:ascii="Arial" w:hAnsi="Arial" w:cs="Arial"/>
          <w:sz w:val="24"/>
          <w:szCs w:val="24"/>
        </w:rPr>
      </w:pPr>
    </w:p>
    <w:p w:rsidR="00222438" w:rsidRDefault="00222438" w:rsidP="00222438">
      <w:pPr>
        <w:pStyle w:val="NoSpacing"/>
        <w:rPr>
          <w:rFonts w:ascii="Arial" w:hAnsi="Arial" w:cs="Arial"/>
          <w:sz w:val="24"/>
          <w:szCs w:val="24"/>
        </w:rPr>
      </w:pPr>
      <w:r>
        <w:rPr>
          <w:rFonts w:ascii="Arial" w:hAnsi="Arial" w:cs="Arial"/>
          <w:sz w:val="24"/>
          <w:szCs w:val="24"/>
        </w:rPr>
        <w:t>And,</w:t>
      </w:r>
    </w:p>
    <w:p w:rsidR="00222438" w:rsidRDefault="00222438" w:rsidP="00222438">
      <w:pPr>
        <w:pStyle w:val="NoSpacing"/>
        <w:rPr>
          <w:rFonts w:ascii="Arial" w:hAnsi="Arial" w:cs="Arial"/>
          <w:sz w:val="24"/>
          <w:szCs w:val="24"/>
        </w:rPr>
      </w:pPr>
    </w:p>
    <w:p w:rsidR="00222438" w:rsidRDefault="00222438" w:rsidP="00222438">
      <w:pPr>
        <w:pStyle w:val="NoSpacing"/>
        <w:numPr>
          <w:ilvl w:val="0"/>
          <w:numId w:val="10"/>
        </w:numPr>
        <w:rPr>
          <w:rFonts w:ascii="Arial" w:hAnsi="Arial" w:cs="Arial"/>
          <w:sz w:val="24"/>
          <w:szCs w:val="24"/>
        </w:rPr>
      </w:pPr>
      <w:r>
        <w:rPr>
          <w:rFonts w:ascii="Arial" w:hAnsi="Arial" w:cs="Arial"/>
          <w:sz w:val="24"/>
          <w:szCs w:val="24"/>
        </w:rPr>
        <w:t>Identify if the item results in:</w:t>
      </w:r>
      <w:r>
        <w:rPr>
          <w:rFonts w:ascii="Arial" w:hAnsi="Arial" w:cs="Arial"/>
          <w:sz w:val="24"/>
          <w:szCs w:val="24"/>
        </w:rPr>
        <w:br/>
      </w:r>
    </w:p>
    <w:p w:rsidR="00222438" w:rsidRDefault="00222438" w:rsidP="00222438">
      <w:pPr>
        <w:pStyle w:val="NoSpacing"/>
        <w:numPr>
          <w:ilvl w:val="1"/>
          <w:numId w:val="10"/>
        </w:numPr>
        <w:rPr>
          <w:rFonts w:ascii="Arial" w:hAnsi="Arial" w:cs="Arial"/>
          <w:sz w:val="24"/>
          <w:szCs w:val="24"/>
        </w:rPr>
      </w:pPr>
      <w:r>
        <w:rPr>
          <w:rFonts w:ascii="Arial" w:hAnsi="Arial" w:cs="Arial"/>
          <w:sz w:val="24"/>
          <w:szCs w:val="24"/>
        </w:rPr>
        <w:t>A deferred tax asset</w:t>
      </w:r>
    </w:p>
    <w:p w:rsidR="00222438" w:rsidRDefault="00222438" w:rsidP="00222438">
      <w:pPr>
        <w:pStyle w:val="NoSpacing"/>
        <w:numPr>
          <w:ilvl w:val="1"/>
          <w:numId w:val="10"/>
        </w:numPr>
        <w:rPr>
          <w:rFonts w:ascii="Arial" w:hAnsi="Arial" w:cs="Arial"/>
          <w:sz w:val="24"/>
          <w:szCs w:val="24"/>
        </w:rPr>
      </w:pPr>
      <w:r>
        <w:rPr>
          <w:rFonts w:ascii="Arial" w:hAnsi="Arial" w:cs="Arial"/>
          <w:sz w:val="24"/>
          <w:szCs w:val="24"/>
        </w:rPr>
        <w:t>A deferred tax liability</w:t>
      </w:r>
    </w:p>
    <w:p w:rsidR="00222438" w:rsidRDefault="00222438" w:rsidP="00222438">
      <w:pPr>
        <w:pStyle w:val="NoSpacing"/>
        <w:numPr>
          <w:ilvl w:val="1"/>
          <w:numId w:val="10"/>
        </w:numPr>
        <w:rPr>
          <w:rFonts w:ascii="Arial" w:hAnsi="Arial" w:cs="Arial"/>
          <w:sz w:val="24"/>
          <w:szCs w:val="24"/>
        </w:rPr>
      </w:pPr>
      <w:r>
        <w:rPr>
          <w:rFonts w:ascii="Arial" w:hAnsi="Arial" w:cs="Arial"/>
          <w:sz w:val="24"/>
          <w:szCs w:val="24"/>
        </w:rPr>
        <w:t>Neither a deferred tax asset nor a deferred tax liability.</w:t>
      </w:r>
    </w:p>
    <w:p w:rsidR="00222438" w:rsidRDefault="00222438" w:rsidP="00222438">
      <w:pPr>
        <w:pStyle w:val="NoSpacing"/>
        <w:rPr>
          <w:rFonts w:ascii="Arial" w:hAnsi="Arial" w:cs="Arial"/>
          <w:sz w:val="24"/>
          <w:szCs w:val="24"/>
        </w:rPr>
      </w:pPr>
    </w:p>
    <w:p w:rsidR="00091D78" w:rsidRDefault="00091D78">
      <w:pPr>
        <w:rPr>
          <w:rFonts w:ascii="Arial" w:hAnsi="Arial" w:cs="Arial"/>
          <w:b/>
          <w:bCs/>
          <w:sz w:val="24"/>
          <w:szCs w:val="24"/>
          <w:u w:val="single"/>
        </w:rPr>
      </w:pPr>
      <w:r>
        <w:rPr>
          <w:rFonts w:ascii="Arial" w:hAnsi="Arial" w:cs="Arial"/>
          <w:b/>
          <w:bCs/>
          <w:sz w:val="24"/>
          <w:szCs w:val="24"/>
          <w:u w:val="single"/>
        </w:rPr>
        <w:br w:type="page"/>
      </w:r>
    </w:p>
    <w:p w:rsidR="00222438" w:rsidRPr="00496E70" w:rsidRDefault="00222438" w:rsidP="00222438">
      <w:pPr>
        <w:pStyle w:val="NoSpacing"/>
        <w:rPr>
          <w:rFonts w:ascii="Arial" w:eastAsia="Calibri" w:hAnsi="Arial" w:cs="Arial"/>
          <w:b/>
          <w:bCs/>
          <w:sz w:val="24"/>
          <w:szCs w:val="24"/>
        </w:rPr>
      </w:pPr>
      <w:r w:rsidRPr="00496E70">
        <w:rPr>
          <w:rFonts w:ascii="Arial" w:eastAsia="Calibri" w:hAnsi="Arial" w:cs="Arial"/>
          <w:b/>
          <w:bCs/>
          <w:sz w:val="24"/>
          <w:szCs w:val="24"/>
          <w:u w:val="single"/>
        </w:rPr>
        <w:lastRenderedPageBreak/>
        <w:t xml:space="preserve">Problem </w:t>
      </w:r>
      <w:r>
        <w:rPr>
          <w:rFonts w:ascii="Arial" w:eastAsia="Calibri" w:hAnsi="Arial" w:cs="Arial"/>
          <w:b/>
          <w:bCs/>
          <w:sz w:val="24"/>
          <w:szCs w:val="24"/>
          <w:u w:val="single"/>
        </w:rPr>
        <w:t>3</w:t>
      </w:r>
      <w:r w:rsidRPr="00496E70">
        <w:rPr>
          <w:rFonts w:ascii="Arial" w:eastAsia="Calibri" w:hAnsi="Arial" w:cs="Arial"/>
          <w:b/>
          <w:bCs/>
          <w:sz w:val="24"/>
          <w:szCs w:val="24"/>
          <w:u w:val="single"/>
        </w:rPr>
        <w:t>:</w:t>
      </w:r>
      <w:r w:rsidRPr="00496E70">
        <w:rPr>
          <w:rFonts w:ascii="Arial" w:eastAsia="Calibri" w:hAnsi="Arial" w:cs="Arial"/>
          <w:b/>
          <w:bCs/>
          <w:sz w:val="24"/>
          <w:szCs w:val="24"/>
        </w:rPr>
        <w:t xml:space="preserve"> </w:t>
      </w:r>
    </w:p>
    <w:p w:rsidR="00222438" w:rsidRPr="00496E70" w:rsidRDefault="00222438" w:rsidP="00222438">
      <w:pPr>
        <w:pStyle w:val="NoSpacing"/>
        <w:rPr>
          <w:rFonts w:ascii="Arial" w:eastAsia="Calibri" w:hAnsi="Arial" w:cs="Arial"/>
          <w:sz w:val="24"/>
          <w:szCs w:val="24"/>
        </w:rPr>
      </w:pPr>
    </w:p>
    <w:p w:rsidR="00DD6EB2" w:rsidRDefault="00DD6EB2" w:rsidP="00A2150C">
      <w:pPr>
        <w:pStyle w:val="NoSpacing"/>
        <w:rPr>
          <w:rFonts w:ascii="Arial" w:hAnsi="Arial" w:cs="Arial"/>
          <w:sz w:val="24"/>
          <w:szCs w:val="24"/>
        </w:rPr>
      </w:pPr>
      <w:r>
        <w:rPr>
          <w:rFonts w:ascii="Arial" w:hAnsi="Arial" w:cs="Arial"/>
          <w:sz w:val="24"/>
          <w:szCs w:val="24"/>
        </w:rPr>
        <w:t>Instructions:</w:t>
      </w:r>
    </w:p>
    <w:p w:rsidR="00DD6EB2" w:rsidRDefault="00DD6EB2" w:rsidP="00A2150C">
      <w:pPr>
        <w:pStyle w:val="NoSpacing"/>
        <w:rPr>
          <w:rFonts w:ascii="Arial" w:hAnsi="Arial" w:cs="Arial"/>
          <w:sz w:val="24"/>
          <w:szCs w:val="24"/>
        </w:rPr>
      </w:pPr>
    </w:p>
    <w:p w:rsidR="00A2150C" w:rsidRPr="00495113" w:rsidRDefault="00A2150C" w:rsidP="00A2150C">
      <w:pPr>
        <w:pStyle w:val="NoSpacing"/>
        <w:rPr>
          <w:rFonts w:ascii="Arial" w:hAnsi="Arial" w:cs="Arial"/>
          <w:sz w:val="24"/>
          <w:szCs w:val="24"/>
        </w:rPr>
      </w:pPr>
      <w:r w:rsidRPr="00495113">
        <w:rPr>
          <w:rFonts w:ascii="Arial" w:hAnsi="Arial" w:cs="Arial"/>
          <w:sz w:val="24"/>
          <w:szCs w:val="24"/>
        </w:rPr>
        <w:t>Fill in the blanks:</w:t>
      </w:r>
    </w:p>
    <w:p w:rsidR="00A2150C" w:rsidRPr="00495113" w:rsidRDefault="00A2150C" w:rsidP="00A2150C">
      <w:pPr>
        <w:pStyle w:val="NoSpacing"/>
        <w:rPr>
          <w:rFonts w:ascii="Arial" w:hAnsi="Arial" w:cs="Arial"/>
          <w:sz w:val="24"/>
          <w:szCs w:val="24"/>
        </w:rPr>
      </w:pPr>
    </w:p>
    <w:p w:rsidR="00A2150C" w:rsidRDefault="00A2150C" w:rsidP="00A2150C">
      <w:pPr>
        <w:pStyle w:val="NoSpacing"/>
        <w:numPr>
          <w:ilvl w:val="0"/>
          <w:numId w:val="12"/>
        </w:numPr>
        <w:ind w:left="360"/>
        <w:rPr>
          <w:rFonts w:ascii="Arial" w:hAnsi="Arial" w:cs="Arial"/>
          <w:sz w:val="24"/>
          <w:szCs w:val="24"/>
        </w:rPr>
      </w:pPr>
      <w:r w:rsidRPr="00495113">
        <w:rPr>
          <w:rFonts w:ascii="Arial" w:hAnsi="Arial" w:cs="Arial"/>
          <w:sz w:val="24"/>
          <w:szCs w:val="24"/>
        </w:rPr>
        <w:t>Current tax expense</w:t>
      </w:r>
      <w:r>
        <w:rPr>
          <w:rFonts w:ascii="Arial" w:hAnsi="Arial" w:cs="Arial"/>
          <w:sz w:val="24"/>
          <w:szCs w:val="24"/>
        </w:rPr>
        <w:t xml:space="preserve"> is reported as </w:t>
      </w:r>
      <w:r w:rsidR="00D241B9" w:rsidRPr="00D241B9">
        <w:rPr>
          <w:rFonts w:ascii="Arial" w:eastAsiaTheme="minorEastAsia" w:hAnsi="Arial" w:cs="Arial"/>
          <w:color w:val="000000"/>
          <w:sz w:val="24"/>
          <w:szCs w:val="24"/>
        </w:rPr>
        <w:t>$75,000</w:t>
      </w:r>
      <w:r>
        <w:rPr>
          <w:rFonts w:ascii="Arial" w:hAnsi="Arial" w:cs="Arial"/>
          <w:sz w:val="24"/>
          <w:szCs w:val="24"/>
        </w:rPr>
        <w:t xml:space="preserve"> on the income statement along with a current deferred tax liability of </w:t>
      </w:r>
      <w:r w:rsidR="00D241B9" w:rsidRPr="00D241B9">
        <w:rPr>
          <w:rFonts w:ascii="Arial" w:eastAsiaTheme="minorEastAsia" w:hAnsi="Arial" w:cs="Arial"/>
          <w:color w:val="000000"/>
          <w:sz w:val="24"/>
          <w:szCs w:val="24"/>
        </w:rPr>
        <w:t>$15,000</w:t>
      </w:r>
      <w:r>
        <w:rPr>
          <w:rFonts w:ascii="Arial" w:hAnsi="Arial" w:cs="Arial"/>
          <w:sz w:val="24"/>
          <w:szCs w:val="24"/>
        </w:rPr>
        <w:t>.  Total income tax expense will be reported as $________.</w:t>
      </w:r>
    </w:p>
    <w:p w:rsidR="00A2150C" w:rsidRDefault="00A2150C" w:rsidP="00A2150C">
      <w:pPr>
        <w:pStyle w:val="NoSpacing"/>
        <w:rPr>
          <w:rFonts w:ascii="Arial" w:hAnsi="Arial" w:cs="Arial"/>
          <w:sz w:val="24"/>
          <w:szCs w:val="24"/>
        </w:rPr>
      </w:pPr>
    </w:p>
    <w:p w:rsidR="00A2150C" w:rsidRDefault="00A2150C" w:rsidP="00A2150C">
      <w:pPr>
        <w:pStyle w:val="NoSpacing"/>
        <w:numPr>
          <w:ilvl w:val="0"/>
          <w:numId w:val="12"/>
        </w:numPr>
        <w:ind w:left="360"/>
        <w:rPr>
          <w:rFonts w:ascii="Arial" w:hAnsi="Arial" w:cs="Arial"/>
          <w:sz w:val="24"/>
          <w:szCs w:val="24"/>
        </w:rPr>
      </w:pPr>
      <w:r>
        <w:rPr>
          <w:rFonts w:ascii="Arial" w:hAnsi="Arial" w:cs="Arial"/>
          <w:sz w:val="24"/>
          <w:szCs w:val="24"/>
        </w:rPr>
        <w:t>Permanent differences will __________ (sometimes, always, never) result in a deferred tax asset.</w:t>
      </w:r>
    </w:p>
    <w:p w:rsidR="00A2150C" w:rsidRDefault="00A2150C" w:rsidP="00A2150C">
      <w:pPr>
        <w:pStyle w:val="NoSpacing"/>
        <w:rPr>
          <w:rFonts w:ascii="Arial" w:hAnsi="Arial" w:cs="Arial"/>
          <w:sz w:val="24"/>
          <w:szCs w:val="24"/>
        </w:rPr>
      </w:pPr>
    </w:p>
    <w:p w:rsidR="00A2150C" w:rsidRDefault="00A2150C" w:rsidP="00A2150C">
      <w:pPr>
        <w:pStyle w:val="NoSpacing"/>
        <w:numPr>
          <w:ilvl w:val="0"/>
          <w:numId w:val="12"/>
        </w:numPr>
        <w:ind w:left="360"/>
        <w:rPr>
          <w:rFonts w:ascii="Arial" w:hAnsi="Arial" w:cs="Arial"/>
          <w:sz w:val="24"/>
          <w:szCs w:val="24"/>
        </w:rPr>
      </w:pPr>
      <w:r>
        <w:rPr>
          <w:rFonts w:ascii="Arial" w:hAnsi="Arial" w:cs="Arial"/>
          <w:sz w:val="24"/>
          <w:szCs w:val="24"/>
        </w:rPr>
        <w:t>A decrease in the Deferred Tax Asset account on the balance sheet will be recorded by a __________ (debit, credit) to the Income Tax Expense account.</w:t>
      </w:r>
    </w:p>
    <w:p w:rsidR="00A2150C" w:rsidRDefault="00A2150C" w:rsidP="00A2150C">
      <w:pPr>
        <w:pStyle w:val="NoSpacing"/>
        <w:rPr>
          <w:rFonts w:ascii="Arial" w:hAnsi="Arial" w:cs="Arial"/>
          <w:sz w:val="24"/>
          <w:szCs w:val="24"/>
        </w:rPr>
      </w:pPr>
    </w:p>
    <w:p w:rsidR="00A2150C" w:rsidRDefault="00A2150C" w:rsidP="00A2150C">
      <w:pPr>
        <w:pStyle w:val="NoSpacing"/>
        <w:numPr>
          <w:ilvl w:val="0"/>
          <w:numId w:val="12"/>
        </w:numPr>
        <w:ind w:left="360"/>
        <w:rPr>
          <w:rFonts w:ascii="Arial" w:hAnsi="Arial" w:cs="Arial"/>
          <w:sz w:val="24"/>
          <w:szCs w:val="24"/>
        </w:rPr>
      </w:pPr>
      <w:r>
        <w:rPr>
          <w:rFonts w:ascii="Arial" w:hAnsi="Arial" w:cs="Arial"/>
          <w:sz w:val="24"/>
          <w:szCs w:val="24"/>
        </w:rPr>
        <w:t xml:space="preserve">Taxes due according to the tax return are </w:t>
      </w:r>
      <w:r w:rsidR="00D241B9" w:rsidRPr="00D241B9">
        <w:rPr>
          <w:rFonts w:ascii="Arial" w:eastAsiaTheme="minorEastAsia" w:hAnsi="Arial" w:cs="Arial"/>
          <w:color w:val="000000"/>
          <w:sz w:val="24"/>
          <w:szCs w:val="24"/>
        </w:rPr>
        <w:t>$56,000</w:t>
      </w:r>
      <w:r>
        <w:rPr>
          <w:rFonts w:ascii="Arial" w:hAnsi="Arial" w:cs="Arial"/>
          <w:sz w:val="24"/>
          <w:szCs w:val="24"/>
        </w:rPr>
        <w:t xml:space="preserve">.  Income tax expense on the income statement shows </w:t>
      </w:r>
      <w:r w:rsidR="00D241B9" w:rsidRPr="00D241B9">
        <w:rPr>
          <w:rFonts w:ascii="Arial" w:eastAsiaTheme="minorEastAsia" w:hAnsi="Arial" w:cs="Arial"/>
          <w:color w:val="000000"/>
          <w:sz w:val="24"/>
          <w:szCs w:val="24"/>
        </w:rPr>
        <w:t>$68,000</w:t>
      </w:r>
      <w:r>
        <w:rPr>
          <w:rFonts w:ascii="Arial" w:hAnsi="Arial" w:cs="Arial"/>
          <w:sz w:val="24"/>
          <w:szCs w:val="24"/>
        </w:rPr>
        <w:t>.  The difference is a __________ (deferred tax expense, deferred tax benefit).</w:t>
      </w:r>
    </w:p>
    <w:p w:rsidR="00A2150C" w:rsidRDefault="00A2150C" w:rsidP="00A2150C">
      <w:pPr>
        <w:pStyle w:val="NoSpacing"/>
        <w:rPr>
          <w:rFonts w:ascii="Arial" w:hAnsi="Arial" w:cs="Arial"/>
          <w:sz w:val="24"/>
          <w:szCs w:val="24"/>
        </w:rPr>
      </w:pPr>
    </w:p>
    <w:p w:rsidR="00A2150C" w:rsidRDefault="00A2150C" w:rsidP="00A2150C">
      <w:pPr>
        <w:pStyle w:val="NoSpacing"/>
        <w:numPr>
          <w:ilvl w:val="0"/>
          <w:numId w:val="12"/>
        </w:numPr>
        <w:ind w:left="360"/>
        <w:rPr>
          <w:rFonts w:ascii="Arial" w:hAnsi="Arial" w:cs="Arial"/>
          <w:sz w:val="24"/>
          <w:szCs w:val="24"/>
        </w:rPr>
      </w:pPr>
      <w:r>
        <w:rPr>
          <w:rFonts w:ascii="Arial" w:hAnsi="Arial" w:cs="Arial"/>
          <w:sz w:val="24"/>
          <w:szCs w:val="24"/>
        </w:rPr>
        <w:t xml:space="preserve">The balance sheet shows a deferred tax liability of </w:t>
      </w:r>
      <w:r w:rsidR="00D241B9" w:rsidRPr="00D241B9">
        <w:rPr>
          <w:rFonts w:ascii="Arial" w:eastAsiaTheme="minorEastAsia" w:hAnsi="Arial" w:cs="Arial"/>
          <w:color w:val="000000"/>
          <w:sz w:val="24"/>
          <w:szCs w:val="24"/>
        </w:rPr>
        <w:t>$207,000</w:t>
      </w:r>
      <w:r>
        <w:rPr>
          <w:rFonts w:ascii="Arial" w:hAnsi="Arial" w:cs="Arial"/>
          <w:sz w:val="24"/>
          <w:szCs w:val="24"/>
        </w:rPr>
        <w:t xml:space="preserve">.  If the company’s tax rate is </w:t>
      </w:r>
      <w:r w:rsidR="00D241B9" w:rsidRPr="00D241B9">
        <w:rPr>
          <w:rFonts w:ascii="Arial" w:eastAsiaTheme="minorEastAsia" w:hAnsi="Arial" w:cs="Arial"/>
          <w:color w:val="000000"/>
          <w:sz w:val="24"/>
          <w:szCs w:val="24"/>
        </w:rPr>
        <w:t>38%</w:t>
      </w:r>
      <w:r>
        <w:rPr>
          <w:rFonts w:ascii="Arial" w:hAnsi="Arial" w:cs="Arial"/>
          <w:sz w:val="24"/>
          <w:szCs w:val="24"/>
        </w:rPr>
        <w:t xml:space="preserve">, the amount of the underlying cumulative temporary difference is __________. </w:t>
      </w:r>
    </w:p>
    <w:p w:rsidR="00A2150C" w:rsidRDefault="00A2150C" w:rsidP="00A2150C">
      <w:pPr>
        <w:pStyle w:val="NoSpacing"/>
        <w:rPr>
          <w:rFonts w:ascii="Arial" w:hAnsi="Arial" w:cs="Arial"/>
          <w:sz w:val="24"/>
          <w:szCs w:val="24"/>
        </w:rPr>
      </w:pPr>
    </w:p>
    <w:p w:rsidR="00A2150C" w:rsidRDefault="00A2150C" w:rsidP="00A2150C">
      <w:pPr>
        <w:pStyle w:val="NoSpacing"/>
        <w:numPr>
          <w:ilvl w:val="0"/>
          <w:numId w:val="12"/>
        </w:numPr>
        <w:ind w:left="360"/>
        <w:rPr>
          <w:rFonts w:ascii="Arial" w:hAnsi="Arial" w:cs="Arial"/>
          <w:sz w:val="24"/>
          <w:szCs w:val="24"/>
        </w:rPr>
      </w:pPr>
      <w:r>
        <w:rPr>
          <w:rFonts w:ascii="Arial" w:hAnsi="Arial" w:cs="Arial"/>
          <w:sz w:val="24"/>
          <w:szCs w:val="24"/>
        </w:rPr>
        <w:t xml:space="preserve">On the income statement, total income tax expense is shown as </w:t>
      </w:r>
      <w:r w:rsidR="00D241B9" w:rsidRPr="00D241B9">
        <w:rPr>
          <w:rFonts w:ascii="Arial" w:eastAsiaTheme="minorEastAsia" w:hAnsi="Arial" w:cs="Arial"/>
          <w:color w:val="000000"/>
          <w:sz w:val="24"/>
          <w:szCs w:val="24"/>
        </w:rPr>
        <w:t>$46,000</w:t>
      </w:r>
      <w:r>
        <w:rPr>
          <w:rFonts w:ascii="Arial" w:hAnsi="Arial" w:cs="Arial"/>
          <w:sz w:val="24"/>
          <w:szCs w:val="24"/>
        </w:rPr>
        <w:t xml:space="preserve"> and deferred tax expense is shown as </w:t>
      </w:r>
      <w:r w:rsidR="00D241B9" w:rsidRPr="00D241B9">
        <w:rPr>
          <w:rFonts w:ascii="Arial" w:eastAsiaTheme="minorEastAsia" w:hAnsi="Arial" w:cs="Arial"/>
          <w:color w:val="000000"/>
          <w:sz w:val="24"/>
          <w:szCs w:val="24"/>
        </w:rPr>
        <w:t>$53,000</w:t>
      </w:r>
      <w:r>
        <w:rPr>
          <w:rFonts w:ascii="Arial" w:hAnsi="Arial" w:cs="Arial"/>
          <w:sz w:val="24"/>
          <w:szCs w:val="24"/>
        </w:rPr>
        <w:t xml:space="preserve">.  The current portion of the tax expense will be shown as a __________ (current tax benefit, current tax expense).  </w:t>
      </w:r>
    </w:p>
    <w:p w:rsidR="00A2150C" w:rsidRDefault="00A2150C" w:rsidP="00A2150C">
      <w:pPr>
        <w:pStyle w:val="NoSpacing"/>
        <w:rPr>
          <w:rFonts w:ascii="Arial" w:hAnsi="Arial" w:cs="Arial"/>
          <w:sz w:val="24"/>
          <w:szCs w:val="24"/>
        </w:rPr>
      </w:pPr>
    </w:p>
    <w:p w:rsidR="00A2150C" w:rsidRDefault="00A2150C" w:rsidP="00A2150C">
      <w:pPr>
        <w:pStyle w:val="NoSpacing"/>
        <w:numPr>
          <w:ilvl w:val="0"/>
          <w:numId w:val="12"/>
        </w:numPr>
        <w:ind w:left="360"/>
        <w:rPr>
          <w:rFonts w:ascii="Arial" w:hAnsi="Arial" w:cs="Arial"/>
          <w:sz w:val="24"/>
          <w:szCs w:val="24"/>
        </w:rPr>
      </w:pPr>
      <w:r>
        <w:rPr>
          <w:rFonts w:ascii="Arial" w:hAnsi="Arial" w:cs="Arial"/>
          <w:sz w:val="24"/>
          <w:szCs w:val="24"/>
        </w:rPr>
        <w:t>In a period in which a temporary tax difference, resulting from a deferred tax asset, reverses, the result will be taxable income that is __________ (less than, greater then, the same as) pretax financial income.</w:t>
      </w:r>
    </w:p>
    <w:p w:rsidR="00A2150C" w:rsidRDefault="00A2150C" w:rsidP="00A2150C">
      <w:pPr>
        <w:pStyle w:val="NoSpacing"/>
        <w:rPr>
          <w:rFonts w:ascii="Arial" w:hAnsi="Arial" w:cs="Arial"/>
          <w:sz w:val="24"/>
          <w:szCs w:val="24"/>
        </w:rPr>
      </w:pPr>
    </w:p>
    <w:p w:rsidR="00A2150C" w:rsidRDefault="00A2150C" w:rsidP="00A2150C">
      <w:pPr>
        <w:pStyle w:val="NoSpacing"/>
        <w:numPr>
          <w:ilvl w:val="0"/>
          <w:numId w:val="12"/>
        </w:numPr>
        <w:ind w:left="360"/>
        <w:rPr>
          <w:rFonts w:ascii="Arial" w:hAnsi="Arial" w:cs="Arial"/>
          <w:sz w:val="24"/>
          <w:szCs w:val="24"/>
        </w:rPr>
      </w:pPr>
      <w:r>
        <w:rPr>
          <w:rFonts w:ascii="Arial" w:hAnsi="Arial" w:cs="Arial"/>
          <w:sz w:val="24"/>
          <w:szCs w:val="24"/>
        </w:rPr>
        <w:t xml:space="preserve">Pretax financial income is </w:t>
      </w:r>
      <w:r w:rsidR="00D241B9" w:rsidRPr="00D241B9">
        <w:rPr>
          <w:rFonts w:ascii="Arial" w:eastAsiaTheme="minorEastAsia" w:hAnsi="Arial" w:cs="Arial"/>
          <w:color w:val="000000"/>
          <w:sz w:val="24"/>
          <w:szCs w:val="24"/>
        </w:rPr>
        <w:t>$45,000</w:t>
      </w:r>
      <w:r>
        <w:rPr>
          <w:rFonts w:ascii="Arial" w:hAnsi="Arial" w:cs="Arial"/>
          <w:sz w:val="24"/>
          <w:szCs w:val="24"/>
        </w:rPr>
        <w:t xml:space="preserve">.  During the period, the deferred tax asset account increased </w:t>
      </w:r>
      <w:r w:rsidR="00D241B9" w:rsidRPr="00D241B9">
        <w:rPr>
          <w:rFonts w:ascii="Arial" w:eastAsiaTheme="minorEastAsia" w:hAnsi="Arial" w:cs="Arial"/>
          <w:color w:val="000000"/>
          <w:sz w:val="24"/>
          <w:szCs w:val="24"/>
        </w:rPr>
        <w:t>$13,000</w:t>
      </w:r>
      <w:r>
        <w:rPr>
          <w:rFonts w:ascii="Arial" w:hAnsi="Arial" w:cs="Arial"/>
          <w:sz w:val="24"/>
          <w:szCs w:val="24"/>
        </w:rPr>
        <w:t xml:space="preserve">.  If the company’s income tax rate is </w:t>
      </w:r>
      <w:r w:rsidR="00D241B9" w:rsidRPr="00D241B9">
        <w:rPr>
          <w:rFonts w:ascii="Arial" w:eastAsiaTheme="minorEastAsia" w:hAnsi="Arial" w:cs="Arial"/>
          <w:color w:val="000000"/>
          <w:sz w:val="24"/>
          <w:szCs w:val="24"/>
        </w:rPr>
        <w:t>36%</w:t>
      </w:r>
      <w:r>
        <w:rPr>
          <w:rFonts w:ascii="Arial" w:hAnsi="Arial" w:cs="Arial"/>
          <w:sz w:val="24"/>
          <w:szCs w:val="24"/>
        </w:rPr>
        <w:t>, the tax return will show a tax amount due of __________.</w:t>
      </w:r>
    </w:p>
    <w:p w:rsidR="00A2150C" w:rsidRDefault="00A2150C" w:rsidP="00A2150C">
      <w:pPr>
        <w:pStyle w:val="NoSpacing"/>
        <w:rPr>
          <w:rFonts w:ascii="Arial" w:hAnsi="Arial" w:cs="Arial"/>
          <w:sz w:val="24"/>
          <w:szCs w:val="24"/>
        </w:rPr>
      </w:pPr>
    </w:p>
    <w:p w:rsidR="00A2150C" w:rsidRDefault="00A2150C" w:rsidP="00A2150C">
      <w:pPr>
        <w:pStyle w:val="NoSpacing"/>
        <w:numPr>
          <w:ilvl w:val="0"/>
          <w:numId w:val="12"/>
        </w:numPr>
        <w:ind w:left="360"/>
        <w:rPr>
          <w:rFonts w:ascii="Arial" w:hAnsi="Arial" w:cs="Arial"/>
          <w:sz w:val="24"/>
          <w:szCs w:val="24"/>
        </w:rPr>
      </w:pPr>
      <w:r>
        <w:rPr>
          <w:rFonts w:ascii="Arial" w:hAnsi="Arial" w:cs="Arial"/>
          <w:sz w:val="24"/>
          <w:szCs w:val="24"/>
        </w:rPr>
        <w:t xml:space="preserve">At the beginning of the year, there was no deferred tax liability account.  At the end of the year, the deferred tax liability account showed a credit balance of </w:t>
      </w:r>
      <w:r w:rsidR="00D241B9" w:rsidRPr="00D241B9">
        <w:rPr>
          <w:rFonts w:ascii="Arial" w:eastAsiaTheme="minorEastAsia" w:hAnsi="Arial" w:cs="Arial"/>
          <w:color w:val="000000"/>
          <w:sz w:val="24"/>
          <w:szCs w:val="24"/>
        </w:rPr>
        <w:t>$14,000</w:t>
      </w:r>
      <w:r>
        <w:rPr>
          <w:rFonts w:ascii="Arial" w:hAnsi="Arial" w:cs="Arial"/>
          <w:sz w:val="24"/>
          <w:szCs w:val="24"/>
        </w:rPr>
        <w:t>.  Taxable income was __________ (higher, lower) than pretax financial income.</w:t>
      </w:r>
    </w:p>
    <w:p w:rsidR="00A2150C" w:rsidRDefault="00A2150C" w:rsidP="00A2150C">
      <w:pPr>
        <w:pStyle w:val="NoSpacing"/>
        <w:rPr>
          <w:rFonts w:ascii="Arial" w:hAnsi="Arial" w:cs="Arial"/>
          <w:sz w:val="24"/>
          <w:szCs w:val="24"/>
        </w:rPr>
      </w:pPr>
    </w:p>
    <w:p w:rsidR="00A2150C" w:rsidRDefault="00A2150C" w:rsidP="00A2150C">
      <w:pPr>
        <w:pStyle w:val="NoSpacing"/>
        <w:numPr>
          <w:ilvl w:val="0"/>
          <w:numId w:val="12"/>
        </w:numPr>
        <w:ind w:left="360"/>
        <w:rPr>
          <w:rFonts w:ascii="Arial" w:hAnsi="Arial" w:cs="Arial"/>
          <w:sz w:val="24"/>
          <w:szCs w:val="24"/>
        </w:rPr>
      </w:pPr>
      <w:r>
        <w:rPr>
          <w:rFonts w:ascii="Arial" w:hAnsi="Arial" w:cs="Arial"/>
          <w:sz w:val="24"/>
          <w:szCs w:val="24"/>
        </w:rPr>
        <w:t>The tax effect of a temporary difference that results in lower taxes in future years is recorded as a __________ (deferred tax asset, deferred tax liability).</w:t>
      </w:r>
    </w:p>
    <w:p w:rsidR="00091D78" w:rsidRDefault="00091D78">
      <w:pPr>
        <w:rPr>
          <w:rFonts w:ascii="Arial" w:hAnsi="Arial" w:cs="Arial"/>
          <w:b/>
          <w:bCs/>
          <w:sz w:val="24"/>
          <w:szCs w:val="24"/>
          <w:u w:val="single"/>
        </w:rPr>
      </w:pPr>
      <w:r>
        <w:rPr>
          <w:rFonts w:ascii="Arial" w:hAnsi="Arial" w:cs="Arial"/>
          <w:b/>
          <w:bCs/>
          <w:sz w:val="24"/>
          <w:szCs w:val="24"/>
          <w:u w:val="single"/>
        </w:rPr>
        <w:br w:type="page"/>
      </w:r>
    </w:p>
    <w:p w:rsidR="00150DB9" w:rsidRPr="00496E70" w:rsidRDefault="00150DB9" w:rsidP="00150DB9">
      <w:pPr>
        <w:pStyle w:val="NoSpacing"/>
        <w:rPr>
          <w:rFonts w:ascii="Arial" w:eastAsia="Calibri" w:hAnsi="Arial" w:cs="Arial"/>
          <w:b/>
          <w:bCs/>
          <w:sz w:val="24"/>
          <w:szCs w:val="24"/>
        </w:rPr>
      </w:pPr>
      <w:r w:rsidRPr="00496E70">
        <w:rPr>
          <w:rFonts w:ascii="Arial" w:eastAsia="Calibri" w:hAnsi="Arial" w:cs="Arial"/>
          <w:b/>
          <w:bCs/>
          <w:sz w:val="24"/>
          <w:szCs w:val="24"/>
          <w:u w:val="single"/>
        </w:rPr>
        <w:lastRenderedPageBreak/>
        <w:t xml:space="preserve">Problem </w:t>
      </w:r>
      <w:r>
        <w:rPr>
          <w:rFonts w:ascii="Arial" w:eastAsia="Calibri" w:hAnsi="Arial" w:cs="Arial"/>
          <w:b/>
          <w:bCs/>
          <w:sz w:val="24"/>
          <w:szCs w:val="24"/>
          <w:u w:val="single"/>
        </w:rPr>
        <w:t>4</w:t>
      </w:r>
      <w:r w:rsidRPr="00496E70">
        <w:rPr>
          <w:rFonts w:ascii="Arial" w:eastAsia="Calibri" w:hAnsi="Arial" w:cs="Arial"/>
          <w:b/>
          <w:bCs/>
          <w:sz w:val="24"/>
          <w:szCs w:val="24"/>
          <w:u w:val="single"/>
        </w:rPr>
        <w:t>:</w:t>
      </w:r>
      <w:r w:rsidRPr="00496E70">
        <w:rPr>
          <w:rFonts w:ascii="Arial" w:eastAsia="Calibri" w:hAnsi="Arial" w:cs="Arial"/>
          <w:b/>
          <w:bCs/>
          <w:sz w:val="24"/>
          <w:szCs w:val="24"/>
        </w:rPr>
        <w:t xml:space="preserve"> </w:t>
      </w:r>
    </w:p>
    <w:p w:rsidR="00150DB9" w:rsidRPr="00496E70" w:rsidRDefault="00150DB9" w:rsidP="00150DB9">
      <w:pPr>
        <w:pStyle w:val="NoSpacing"/>
        <w:rPr>
          <w:rFonts w:ascii="Arial" w:eastAsia="Calibri" w:hAnsi="Arial" w:cs="Arial"/>
          <w:sz w:val="24"/>
          <w:szCs w:val="24"/>
        </w:rPr>
      </w:pPr>
    </w:p>
    <w:p w:rsidR="00150DB9" w:rsidRDefault="00150DB9" w:rsidP="00150DB9">
      <w:pPr>
        <w:pStyle w:val="NoSpacing"/>
        <w:rPr>
          <w:rFonts w:ascii="Arial" w:hAnsi="Arial" w:cs="Arial"/>
          <w:sz w:val="24"/>
          <w:szCs w:val="24"/>
        </w:rPr>
      </w:pPr>
      <w:r>
        <w:rPr>
          <w:rFonts w:ascii="Arial" w:hAnsi="Arial" w:cs="Arial"/>
          <w:sz w:val="24"/>
          <w:szCs w:val="24"/>
        </w:rPr>
        <w:t xml:space="preserve">The following information is from </w:t>
      </w:r>
      <w:r w:rsidR="00FE21F3">
        <w:rPr>
          <w:rFonts w:ascii="Arial" w:hAnsi="Arial" w:cs="Arial"/>
          <w:sz w:val="24"/>
          <w:szCs w:val="24"/>
        </w:rPr>
        <w:t>T</w:t>
      </w:r>
      <w:r>
        <w:rPr>
          <w:rFonts w:ascii="Arial" w:hAnsi="Arial" w:cs="Arial"/>
          <w:sz w:val="24"/>
          <w:szCs w:val="24"/>
        </w:rPr>
        <w:t xml:space="preserve">he </w:t>
      </w:r>
      <w:r w:rsidR="00D241B9" w:rsidRPr="00D241B9">
        <w:rPr>
          <w:rFonts w:ascii="Arial" w:eastAsiaTheme="minorEastAsia" w:hAnsi="Arial" w:cs="Arial"/>
          <w:color w:val="000000"/>
          <w:sz w:val="24"/>
          <w:szCs w:val="24"/>
        </w:rPr>
        <w:t>TJL Company</w:t>
      </w:r>
      <w:r>
        <w:rPr>
          <w:rFonts w:ascii="Arial" w:hAnsi="Arial" w:cs="Arial"/>
          <w:sz w:val="24"/>
          <w:szCs w:val="24"/>
        </w:rPr>
        <w:t>.</w:t>
      </w:r>
    </w:p>
    <w:p w:rsidR="00150DB9" w:rsidRDefault="00150DB9" w:rsidP="00150DB9">
      <w:pPr>
        <w:pStyle w:val="NoSpacing"/>
        <w:rPr>
          <w:rFonts w:ascii="Arial" w:hAnsi="Arial" w:cs="Arial"/>
          <w:sz w:val="24"/>
          <w:szCs w:val="24"/>
        </w:rPr>
      </w:pPr>
    </w:p>
    <w:tbl>
      <w:tblPr>
        <w:tblStyle w:val="TableGrid"/>
        <w:tblW w:w="0" w:type="auto"/>
        <w:tblInd w:w="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gridCol w:w="1890"/>
        <w:gridCol w:w="1440"/>
      </w:tblGrid>
      <w:tr w:rsidR="009612C5" w:rsidTr="009612C5">
        <w:tc>
          <w:tcPr>
            <w:tcW w:w="1710" w:type="dxa"/>
          </w:tcPr>
          <w:p w:rsidR="009612C5" w:rsidRDefault="009612C5" w:rsidP="00150DB9">
            <w:pPr>
              <w:pStyle w:val="NoSpacing"/>
              <w:jc w:val="center"/>
              <w:rPr>
                <w:rFonts w:ascii="Arial" w:hAnsi="Arial" w:cs="Arial"/>
                <w:sz w:val="24"/>
                <w:szCs w:val="24"/>
              </w:rPr>
            </w:pPr>
          </w:p>
        </w:tc>
        <w:tc>
          <w:tcPr>
            <w:tcW w:w="1890" w:type="dxa"/>
            <w:tcBorders>
              <w:bottom w:val="single" w:sz="4" w:space="0" w:color="auto"/>
            </w:tcBorders>
            <w:vAlign w:val="bottom"/>
          </w:tcPr>
          <w:p w:rsidR="009612C5" w:rsidRDefault="009612C5" w:rsidP="00150DB9">
            <w:pPr>
              <w:pStyle w:val="NoSpacing"/>
              <w:jc w:val="right"/>
              <w:rPr>
                <w:rFonts w:ascii="Arial" w:hAnsi="Arial" w:cs="Arial"/>
                <w:sz w:val="24"/>
                <w:szCs w:val="24"/>
              </w:rPr>
            </w:pPr>
            <w:r>
              <w:rPr>
                <w:rFonts w:ascii="Arial" w:hAnsi="Arial" w:cs="Arial"/>
                <w:sz w:val="24"/>
                <w:szCs w:val="24"/>
              </w:rPr>
              <w:t>Pretax financial income (loss)</w:t>
            </w:r>
          </w:p>
        </w:tc>
        <w:tc>
          <w:tcPr>
            <w:tcW w:w="1440" w:type="dxa"/>
            <w:tcBorders>
              <w:bottom w:val="single" w:sz="4" w:space="0" w:color="auto"/>
            </w:tcBorders>
            <w:vAlign w:val="bottom"/>
          </w:tcPr>
          <w:p w:rsidR="009612C5" w:rsidRDefault="009612C5" w:rsidP="00150DB9">
            <w:pPr>
              <w:pStyle w:val="NoSpacing"/>
              <w:jc w:val="right"/>
              <w:rPr>
                <w:rFonts w:ascii="Arial" w:hAnsi="Arial" w:cs="Arial"/>
                <w:sz w:val="24"/>
                <w:szCs w:val="24"/>
              </w:rPr>
            </w:pPr>
            <w:r>
              <w:rPr>
                <w:rFonts w:ascii="Arial" w:hAnsi="Arial" w:cs="Arial"/>
                <w:sz w:val="24"/>
                <w:szCs w:val="24"/>
              </w:rPr>
              <w:t>Income Tax Rate</w:t>
            </w:r>
          </w:p>
        </w:tc>
      </w:tr>
      <w:tr w:rsidR="009612C5" w:rsidTr="009612C5">
        <w:tc>
          <w:tcPr>
            <w:tcW w:w="1710" w:type="dxa"/>
          </w:tcPr>
          <w:p w:rsidR="009612C5" w:rsidRDefault="00D241B9" w:rsidP="00150DB9">
            <w:pPr>
              <w:pStyle w:val="NoSpacing"/>
              <w:jc w:val="center"/>
              <w:rPr>
                <w:rFonts w:ascii="Arial" w:hAnsi="Arial" w:cs="Arial"/>
                <w:sz w:val="24"/>
                <w:szCs w:val="24"/>
              </w:rPr>
            </w:pPr>
            <w:r w:rsidRPr="00D241B9">
              <w:rPr>
                <w:rFonts w:ascii="Arial" w:eastAsiaTheme="minorEastAsia" w:hAnsi="Arial" w:cs="Arial"/>
                <w:color w:val="000000"/>
                <w:sz w:val="24"/>
                <w:szCs w:val="24"/>
              </w:rPr>
              <w:t>2010</w:t>
            </w:r>
          </w:p>
        </w:tc>
        <w:tc>
          <w:tcPr>
            <w:tcW w:w="189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 xml:space="preserve">$1,110,000 </w:t>
            </w:r>
          </w:p>
        </w:tc>
        <w:tc>
          <w:tcPr>
            <w:tcW w:w="144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36%</w:t>
            </w:r>
          </w:p>
        </w:tc>
      </w:tr>
      <w:tr w:rsidR="009612C5" w:rsidTr="009612C5">
        <w:tc>
          <w:tcPr>
            <w:tcW w:w="1710" w:type="dxa"/>
          </w:tcPr>
          <w:p w:rsidR="009612C5" w:rsidRDefault="00D241B9" w:rsidP="00150DB9">
            <w:pPr>
              <w:pStyle w:val="NoSpacing"/>
              <w:jc w:val="center"/>
              <w:rPr>
                <w:rFonts w:ascii="Arial" w:hAnsi="Arial" w:cs="Arial"/>
                <w:sz w:val="24"/>
                <w:szCs w:val="24"/>
              </w:rPr>
            </w:pPr>
            <w:r w:rsidRPr="00D241B9">
              <w:rPr>
                <w:rFonts w:ascii="Arial" w:eastAsiaTheme="minorEastAsia" w:hAnsi="Arial" w:cs="Arial"/>
                <w:color w:val="000000"/>
                <w:sz w:val="24"/>
                <w:szCs w:val="24"/>
              </w:rPr>
              <w:t>2011</w:t>
            </w:r>
          </w:p>
        </w:tc>
        <w:tc>
          <w:tcPr>
            <w:tcW w:w="189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 xml:space="preserve">620,000 </w:t>
            </w:r>
          </w:p>
        </w:tc>
        <w:tc>
          <w:tcPr>
            <w:tcW w:w="144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31%</w:t>
            </w:r>
          </w:p>
        </w:tc>
      </w:tr>
      <w:tr w:rsidR="009612C5" w:rsidTr="009612C5">
        <w:tc>
          <w:tcPr>
            <w:tcW w:w="1710" w:type="dxa"/>
          </w:tcPr>
          <w:p w:rsidR="009612C5" w:rsidRDefault="00D241B9" w:rsidP="00150DB9">
            <w:pPr>
              <w:pStyle w:val="NoSpacing"/>
              <w:jc w:val="center"/>
              <w:rPr>
                <w:rFonts w:ascii="Arial" w:hAnsi="Arial" w:cs="Arial"/>
                <w:sz w:val="24"/>
                <w:szCs w:val="24"/>
              </w:rPr>
            </w:pPr>
            <w:r w:rsidRPr="00D241B9">
              <w:rPr>
                <w:rFonts w:ascii="Arial" w:eastAsiaTheme="minorEastAsia" w:hAnsi="Arial" w:cs="Arial"/>
                <w:color w:val="000000"/>
                <w:sz w:val="24"/>
                <w:szCs w:val="24"/>
              </w:rPr>
              <w:t>2012</w:t>
            </w:r>
          </w:p>
        </w:tc>
        <w:tc>
          <w:tcPr>
            <w:tcW w:w="189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 xml:space="preserve">230,000 </w:t>
            </w:r>
          </w:p>
        </w:tc>
        <w:tc>
          <w:tcPr>
            <w:tcW w:w="144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28%</w:t>
            </w:r>
          </w:p>
        </w:tc>
      </w:tr>
      <w:tr w:rsidR="009612C5" w:rsidTr="009612C5">
        <w:tc>
          <w:tcPr>
            <w:tcW w:w="1710" w:type="dxa"/>
          </w:tcPr>
          <w:p w:rsidR="009612C5" w:rsidRDefault="00D241B9" w:rsidP="00150DB9">
            <w:pPr>
              <w:pStyle w:val="NoSpacing"/>
              <w:jc w:val="center"/>
              <w:rPr>
                <w:rFonts w:ascii="Arial" w:hAnsi="Arial" w:cs="Arial"/>
                <w:sz w:val="24"/>
                <w:szCs w:val="24"/>
              </w:rPr>
            </w:pPr>
            <w:r w:rsidRPr="00D241B9">
              <w:rPr>
                <w:rFonts w:ascii="Arial" w:eastAsiaTheme="minorEastAsia" w:hAnsi="Arial" w:cs="Arial"/>
                <w:color w:val="000000"/>
                <w:sz w:val="24"/>
                <w:szCs w:val="24"/>
              </w:rPr>
              <w:t>2013</w:t>
            </w:r>
          </w:p>
        </w:tc>
        <w:tc>
          <w:tcPr>
            <w:tcW w:w="189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(1,190,000)</w:t>
            </w:r>
          </w:p>
        </w:tc>
        <w:tc>
          <w:tcPr>
            <w:tcW w:w="1440" w:type="dxa"/>
            <w:vAlign w:val="bottom"/>
          </w:tcPr>
          <w:p w:rsidR="009612C5" w:rsidRDefault="009612C5" w:rsidP="00150DB9">
            <w:pPr>
              <w:pStyle w:val="NoSpacing"/>
              <w:jc w:val="right"/>
              <w:rPr>
                <w:rFonts w:ascii="Arial" w:hAnsi="Arial" w:cs="Arial"/>
                <w:sz w:val="24"/>
                <w:szCs w:val="24"/>
              </w:rPr>
            </w:pPr>
            <w:r>
              <w:rPr>
                <w:rFonts w:ascii="Arial" w:hAnsi="Arial" w:cs="Arial"/>
                <w:sz w:val="24"/>
                <w:szCs w:val="24"/>
              </w:rPr>
              <w:t>n/a</w:t>
            </w:r>
          </w:p>
        </w:tc>
      </w:tr>
      <w:tr w:rsidR="009612C5" w:rsidTr="009612C5">
        <w:tc>
          <w:tcPr>
            <w:tcW w:w="1710" w:type="dxa"/>
          </w:tcPr>
          <w:p w:rsidR="009612C5" w:rsidRDefault="00D241B9" w:rsidP="00150DB9">
            <w:pPr>
              <w:pStyle w:val="NoSpacing"/>
              <w:jc w:val="center"/>
              <w:rPr>
                <w:rFonts w:ascii="Arial" w:hAnsi="Arial" w:cs="Arial"/>
                <w:sz w:val="24"/>
                <w:szCs w:val="24"/>
              </w:rPr>
            </w:pPr>
            <w:r w:rsidRPr="00D241B9">
              <w:rPr>
                <w:rFonts w:ascii="Arial" w:eastAsiaTheme="minorEastAsia" w:hAnsi="Arial" w:cs="Arial"/>
                <w:color w:val="000000"/>
                <w:sz w:val="24"/>
                <w:szCs w:val="24"/>
              </w:rPr>
              <w:t>2014</w:t>
            </w:r>
          </w:p>
        </w:tc>
        <w:tc>
          <w:tcPr>
            <w:tcW w:w="189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 xml:space="preserve">420,000 </w:t>
            </w:r>
          </w:p>
        </w:tc>
        <w:tc>
          <w:tcPr>
            <w:tcW w:w="144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28%</w:t>
            </w:r>
          </w:p>
        </w:tc>
      </w:tr>
      <w:tr w:rsidR="009612C5" w:rsidTr="009612C5">
        <w:tc>
          <w:tcPr>
            <w:tcW w:w="1710" w:type="dxa"/>
          </w:tcPr>
          <w:p w:rsidR="009612C5" w:rsidRDefault="00D241B9" w:rsidP="00150DB9">
            <w:pPr>
              <w:pStyle w:val="NoSpacing"/>
              <w:jc w:val="center"/>
              <w:rPr>
                <w:rFonts w:ascii="Arial" w:hAnsi="Arial" w:cs="Arial"/>
                <w:sz w:val="24"/>
                <w:szCs w:val="24"/>
              </w:rPr>
            </w:pPr>
            <w:r w:rsidRPr="00D241B9">
              <w:rPr>
                <w:rFonts w:ascii="Arial" w:eastAsiaTheme="minorEastAsia" w:hAnsi="Arial" w:cs="Arial"/>
                <w:color w:val="000000"/>
                <w:sz w:val="24"/>
                <w:szCs w:val="24"/>
              </w:rPr>
              <w:t>2015</w:t>
            </w:r>
          </w:p>
        </w:tc>
        <w:tc>
          <w:tcPr>
            <w:tcW w:w="189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 xml:space="preserve">230,000 </w:t>
            </w:r>
          </w:p>
        </w:tc>
        <w:tc>
          <w:tcPr>
            <w:tcW w:w="144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28%</w:t>
            </w:r>
          </w:p>
        </w:tc>
      </w:tr>
      <w:tr w:rsidR="009612C5" w:rsidTr="009612C5">
        <w:tc>
          <w:tcPr>
            <w:tcW w:w="1710" w:type="dxa"/>
          </w:tcPr>
          <w:p w:rsidR="009612C5" w:rsidRDefault="00D241B9" w:rsidP="00150DB9">
            <w:pPr>
              <w:pStyle w:val="NoSpacing"/>
              <w:jc w:val="center"/>
              <w:rPr>
                <w:rFonts w:ascii="Arial" w:hAnsi="Arial" w:cs="Arial"/>
                <w:sz w:val="24"/>
                <w:szCs w:val="24"/>
              </w:rPr>
            </w:pPr>
            <w:r w:rsidRPr="00D241B9">
              <w:rPr>
                <w:rFonts w:ascii="Arial" w:eastAsiaTheme="minorEastAsia" w:hAnsi="Arial" w:cs="Arial"/>
                <w:color w:val="000000"/>
                <w:sz w:val="24"/>
                <w:szCs w:val="24"/>
              </w:rPr>
              <w:t>2016</w:t>
            </w:r>
          </w:p>
        </w:tc>
        <w:tc>
          <w:tcPr>
            <w:tcW w:w="1890" w:type="dxa"/>
            <w:vAlign w:val="bottom"/>
          </w:tcPr>
          <w:p w:rsidR="009612C5" w:rsidRDefault="00D241B9" w:rsidP="00150DB9">
            <w:pPr>
              <w:pStyle w:val="NoSpacing"/>
              <w:jc w:val="right"/>
              <w:rPr>
                <w:rFonts w:ascii="Arial" w:hAnsi="Arial" w:cs="Arial"/>
                <w:sz w:val="24"/>
                <w:szCs w:val="24"/>
              </w:rPr>
            </w:pPr>
            <w:r w:rsidRPr="00D241B9">
              <w:rPr>
                <w:rFonts w:ascii="Arial" w:eastAsiaTheme="minorEastAsia" w:hAnsi="Arial" w:cs="Arial"/>
                <w:color w:val="000000"/>
                <w:sz w:val="24"/>
                <w:szCs w:val="24"/>
              </w:rPr>
              <w:t>(390,000)</w:t>
            </w:r>
          </w:p>
        </w:tc>
        <w:tc>
          <w:tcPr>
            <w:tcW w:w="1440" w:type="dxa"/>
            <w:vAlign w:val="bottom"/>
          </w:tcPr>
          <w:p w:rsidR="009612C5" w:rsidRDefault="009612C5" w:rsidP="00150DB9">
            <w:pPr>
              <w:pStyle w:val="NoSpacing"/>
              <w:jc w:val="right"/>
              <w:rPr>
                <w:rFonts w:ascii="Arial" w:hAnsi="Arial" w:cs="Arial"/>
                <w:sz w:val="24"/>
                <w:szCs w:val="24"/>
              </w:rPr>
            </w:pPr>
            <w:r>
              <w:rPr>
                <w:rFonts w:ascii="Arial" w:hAnsi="Arial" w:cs="Arial"/>
                <w:sz w:val="24"/>
                <w:szCs w:val="24"/>
              </w:rPr>
              <w:t>n/a</w:t>
            </w:r>
          </w:p>
        </w:tc>
      </w:tr>
    </w:tbl>
    <w:p w:rsidR="00150DB9" w:rsidRPr="00F102BF" w:rsidRDefault="00150DB9" w:rsidP="00150DB9">
      <w:pPr>
        <w:pStyle w:val="NoSpacing"/>
        <w:rPr>
          <w:rFonts w:ascii="Arial" w:hAnsi="Arial" w:cs="Arial"/>
          <w:sz w:val="24"/>
          <w:szCs w:val="24"/>
        </w:rPr>
      </w:pPr>
    </w:p>
    <w:p w:rsidR="00150DB9" w:rsidRDefault="00150DB9" w:rsidP="00150DB9">
      <w:pPr>
        <w:pStyle w:val="NoSpacing"/>
        <w:rPr>
          <w:rFonts w:ascii="Arial" w:hAnsi="Arial" w:cs="Arial"/>
          <w:sz w:val="24"/>
          <w:szCs w:val="24"/>
        </w:rPr>
      </w:pPr>
      <w:r>
        <w:rPr>
          <w:rFonts w:ascii="Arial" w:hAnsi="Arial" w:cs="Arial"/>
          <w:sz w:val="24"/>
          <w:szCs w:val="24"/>
        </w:rPr>
        <w:t xml:space="preserve">The </w:t>
      </w:r>
      <w:r w:rsidR="00D241B9" w:rsidRPr="00D241B9">
        <w:rPr>
          <w:rFonts w:ascii="Arial" w:eastAsiaTheme="minorEastAsia" w:hAnsi="Arial" w:cs="Arial"/>
          <w:color w:val="000000"/>
          <w:sz w:val="24"/>
          <w:szCs w:val="24"/>
        </w:rPr>
        <w:t>TJL Company</w:t>
      </w:r>
      <w:r w:rsidR="009612C5">
        <w:rPr>
          <w:rFonts w:ascii="Arial" w:hAnsi="Arial" w:cs="Arial"/>
          <w:sz w:val="24"/>
          <w:szCs w:val="24"/>
        </w:rPr>
        <w:t xml:space="preserve"> </w:t>
      </w:r>
      <w:r>
        <w:rPr>
          <w:rFonts w:ascii="Arial" w:hAnsi="Arial" w:cs="Arial"/>
          <w:sz w:val="24"/>
          <w:szCs w:val="24"/>
        </w:rPr>
        <w:t xml:space="preserve">uses the NOL </w:t>
      </w:r>
      <w:proofErr w:type="spellStart"/>
      <w:r>
        <w:rPr>
          <w:rFonts w:ascii="Arial" w:hAnsi="Arial" w:cs="Arial"/>
          <w:sz w:val="24"/>
          <w:szCs w:val="24"/>
        </w:rPr>
        <w:t>carryback</w:t>
      </w:r>
      <w:proofErr w:type="spellEnd"/>
      <w:r>
        <w:rPr>
          <w:rFonts w:ascii="Arial" w:hAnsi="Arial" w:cs="Arial"/>
          <w:sz w:val="24"/>
          <w:szCs w:val="24"/>
        </w:rPr>
        <w:t xml:space="preserve"> provision as available.</w:t>
      </w:r>
      <w:r>
        <w:rPr>
          <w:rFonts w:ascii="Arial" w:hAnsi="Arial" w:cs="Arial"/>
          <w:sz w:val="24"/>
          <w:szCs w:val="24"/>
        </w:rPr>
        <w:br/>
      </w:r>
    </w:p>
    <w:p w:rsidR="00150DB9" w:rsidRDefault="00150DB9" w:rsidP="00150DB9">
      <w:pPr>
        <w:pStyle w:val="NoSpacing"/>
        <w:rPr>
          <w:rFonts w:ascii="Arial" w:hAnsi="Arial" w:cs="Arial"/>
          <w:sz w:val="24"/>
          <w:szCs w:val="24"/>
        </w:rPr>
      </w:pPr>
      <w:r>
        <w:rPr>
          <w:rFonts w:ascii="Arial" w:hAnsi="Arial" w:cs="Arial"/>
          <w:sz w:val="24"/>
          <w:szCs w:val="24"/>
        </w:rPr>
        <w:t xml:space="preserve">It is expected that any NOL </w:t>
      </w:r>
      <w:proofErr w:type="spellStart"/>
      <w:r>
        <w:rPr>
          <w:rFonts w:ascii="Arial" w:hAnsi="Arial" w:cs="Arial"/>
          <w:sz w:val="24"/>
          <w:szCs w:val="24"/>
        </w:rPr>
        <w:t>carryforwards</w:t>
      </w:r>
      <w:proofErr w:type="spellEnd"/>
      <w:r>
        <w:rPr>
          <w:rFonts w:ascii="Arial" w:hAnsi="Arial" w:cs="Arial"/>
          <w:sz w:val="24"/>
          <w:szCs w:val="24"/>
        </w:rPr>
        <w:t xml:space="preserve"> will be fully recovered.</w:t>
      </w:r>
    </w:p>
    <w:p w:rsidR="00150DB9" w:rsidRDefault="00150DB9" w:rsidP="00150DB9">
      <w:pPr>
        <w:pStyle w:val="NoSpacing"/>
        <w:rPr>
          <w:rFonts w:ascii="Arial" w:hAnsi="Arial" w:cs="Arial"/>
          <w:sz w:val="24"/>
          <w:szCs w:val="24"/>
        </w:rPr>
      </w:pPr>
    </w:p>
    <w:p w:rsidR="00150DB9" w:rsidRDefault="00150DB9" w:rsidP="00150DB9">
      <w:pPr>
        <w:pStyle w:val="NoSpacing"/>
        <w:rPr>
          <w:rFonts w:ascii="Arial" w:hAnsi="Arial" w:cs="Arial"/>
          <w:sz w:val="24"/>
          <w:szCs w:val="24"/>
        </w:rPr>
      </w:pPr>
      <w:r>
        <w:rPr>
          <w:rFonts w:ascii="Arial" w:hAnsi="Arial" w:cs="Arial"/>
          <w:sz w:val="24"/>
          <w:szCs w:val="24"/>
        </w:rPr>
        <w:t>The income statements reported no irregular or extraordinary items during the years listed.</w:t>
      </w:r>
      <w:r w:rsidR="009612C5">
        <w:rPr>
          <w:rFonts w:ascii="Arial" w:hAnsi="Arial" w:cs="Arial"/>
          <w:sz w:val="24"/>
          <w:szCs w:val="24"/>
        </w:rPr>
        <w:t xml:space="preserve">  There were no tax differences between pretax financial income and taxable income in any year.</w:t>
      </w:r>
    </w:p>
    <w:p w:rsidR="00150DB9" w:rsidRDefault="00150DB9" w:rsidP="00150DB9">
      <w:pPr>
        <w:pStyle w:val="NoSpacing"/>
        <w:rPr>
          <w:rFonts w:ascii="Arial" w:hAnsi="Arial" w:cs="Arial"/>
          <w:sz w:val="24"/>
          <w:szCs w:val="24"/>
        </w:rPr>
      </w:pPr>
    </w:p>
    <w:p w:rsidR="00150DB9" w:rsidRDefault="00150DB9" w:rsidP="00150DB9">
      <w:pPr>
        <w:pStyle w:val="NoSpacing"/>
        <w:rPr>
          <w:rFonts w:ascii="Arial" w:hAnsi="Arial" w:cs="Arial"/>
          <w:sz w:val="24"/>
          <w:szCs w:val="24"/>
        </w:rPr>
      </w:pPr>
      <w:r>
        <w:rPr>
          <w:rFonts w:ascii="Arial" w:hAnsi="Arial" w:cs="Arial"/>
          <w:sz w:val="24"/>
          <w:szCs w:val="24"/>
        </w:rPr>
        <w:t xml:space="preserve">The </w:t>
      </w:r>
      <w:r w:rsidR="00D241B9" w:rsidRPr="00D241B9">
        <w:rPr>
          <w:rFonts w:ascii="Arial" w:eastAsiaTheme="minorEastAsia" w:hAnsi="Arial" w:cs="Arial"/>
          <w:color w:val="000000"/>
          <w:sz w:val="24"/>
          <w:szCs w:val="24"/>
        </w:rPr>
        <w:t>TJL Company</w:t>
      </w:r>
      <w:r w:rsidR="009612C5">
        <w:rPr>
          <w:rFonts w:ascii="Arial" w:hAnsi="Arial" w:cs="Arial"/>
          <w:sz w:val="24"/>
          <w:szCs w:val="24"/>
        </w:rPr>
        <w:t xml:space="preserve">’s </w:t>
      </w:r>
      <w:r>
        <w:rPr>
          <w:rFonts w:ascii="Arial" w:hAnsi="Arial" w:cs="Arial"/>
          <w:sz w:val="24"/>
          <w:szCs w:val="24"/>
        </w:rPr>
        <w:t xml:space="preserve">fiscal year ends on December 31 and income taxes for the </w:t>
      </w:r>
      <w:proofErr w:type="gramStart"/>
      <w:r>
        <w:rPr>
          <w:rFonts w:ascii="Arial" w:hAnsi="Arial" w:cs="Arial"/>
          <w:sz w:val="24"/>
          <w:szCs w:val="24"/>
        </w:rPr>
        <w:t>year are</w:t>
      </w:r>
      <w:proofErr w:type="gramEnd"/>
      <w:r>
        <w:rPr>
          <w:rFonts w:ascii="Arial" w:hAnsi="Arial" w:cs="Arial"/>
          <w:sz w:val="24"/>
          <w:szCs w:val="24"/>
        </w:rPr>
        <w:t xml:space="preserve"> due and pa</w:t>
      </w:r>
      <w:r w:rsidR="009612C5">
        <w:rPr>
          <w:rFonts w:ascii="Arial" w:hAnsi="Arial" w:cs="Arial"/>
          <w:sz w:val="24"/>
          <w:szCs w:val="24"/>
        </w:rPr>
        <w:t>id</w:t>
      </w:r>
      <w:r>
        <w:rPr>
          <w:rFonts w:ascii="Arial" w:hAnsi="Arial" w:cs="Arial"/>
          <w:sz w:val="24"/>
          <w:szCs w:val="24"/>
        </w:rPr>
        <w:t xml:space="preserve"> on March 15</w:t>
      </w:r>
      <w:r w:rsidRPr="003E6CE5">
        <w:rPr>
          <w:rFonts w:ascii="Arial" w:hAnsi="Arial" w:cs="Arial"/>
          <w:sz w:val="24"/>
          <w:szCs w:val="24"/>
          <w:vertAlign w:val="superscript"/>
        </w:rPr>
        <w:t>th</w:t>
      </w:r>
      <w:r>
        <w:rPr>
          <w:rFonts w:ascii="Arial" w:hAnsi="Arial" w:cs="Arial"/>
          <w:sz w:val="24"/>
          <w:szCs w:val="24"/>
        </w:rPr>
        <w:t xml:space="preserve"> of the following year.  Assume that any tax receivables are received on June 15</w:t>
      </w:r>
      <w:r w:rsidRPr="00FA29F7">
        <w:rPr>
          <w:rFonts w:ascii="Arial" w:hAnsi="Arial" w:cs="Arial"/>
          <w:sz w:val="24"/>
          <w:szCs w:val="24"/>
          <w:vertAlign w:val="superscript"/>
        </w:rPr>
        <w:t>th</w:t>
      </w:r>
      <w:r>
        <w:rPr>
          <w:rFonts w:ascii="Arial" w:hAnsi="Arial" w:cs="Arial"/>
          <w:sz w:val="24"/>
          <w:szCs w:val="24"/>
        </w:rPr>
        <w:t>, three months after the return is due.</w:t>
      </w:r>
    </w:p>
    <w:p w:rsidR="00150DB9" w:rsidRDefault="00150DB9" w:rsidP="00150DB9">
      <w:pPr>
        <w:pStyle w:val="NoSpacing"/>
        <w:rPr>
          <w:rFonts w:ascii="Arial" w:hAnsi="Arial" w:cs="Arial"/>
          <w:sz w:val="24"/>
          <w:szCs w:val="24"/>
        </w:rPr>
      </w:pPr>
    </w:p>
    <w:p w:rsidR="00150DB9" w:rsidRDefault="00150DB9" w:rsidP="00150DB9">
      <w:pPr>
        <w:pStyle w:val="NoSpacing"/>
        <w:rPr>
          <w:rFonts w:ascii="Arial" w:hAnsi="Arial" w:cs="Arial"/>
          <w:sz w:val="24"/>
          <w:szCs w:val="24"/>
        </w:rPr>
      </w:pPr>
      <w:r>
        <w:rPr>
          <w:rFonts w:ascii="Arial" w:hAnsi="Arial" w:cs="Arial"/>
          <w:sz w:val="24"/>
          <w:szCs w:val="24"/>
        </w:rPr>
        <w:t>Instructions:</w:t>
      </w:r>
    </w:p>
    <w:p w:rsidR="00150DB9" w:rsidRDefault="00150DB9" w:rsidP="00150DB9">
      <w:pPr>
        <w:pStyle w:val="NoSpacing"/>
        <w:rPr>
          <w:rFonts w:ascii="Arial" w:hAnsi="Arial" w:cs="Arial"/>
          <w:sz w:val="24"/>
          <w:szCs w:val="24"/>
        </w:rPr>
      </w:pPr>
    </w:p>
    <w:p w:rsidR="00150DB9" w:rsidRDefault="00150DB9" w:rsidP="00150DB9">
      <w:pPr>
        <w:pStyle w:val="NoSpacing"/>
        <w:rPr>
          <w:rFonts w:ascii="Arial" w:hAnsi="Arial" w:cs="Arial"/>
          <w:sz w:val="24"/>
          <w:szCs w:val="24"/>
        </w:rPr>
      </w:pPr>
      <w:r>
        <w:rPr>
          <w:rFonts w:ascii="Arial" w:hAnsi="Arial" w:cs="Arial"/>
          <w:sz w:val="24"/>
          <w:szCs w:val="24"/>
        </w:rPr>
        <w:t xml:space="preserve">Record </w:t>
      </w:r>
      <w:r w:rsidRPr="00C270F2">
        <w:rPr>
          <w:rFonts w:ascii="Arial" w:hAnsi="Arial" w:cs="Arial"/>
          <w:sz w:val="24"/>
          <w:szCs w:val="24"/>
          <w:u w:val="single"/>
        </w:rPr>
        <w:t>all</w:t>
      </w:r>
      <w:r>
        <w:rPr>
          <w:rFonts w:ascii="Arial" w:hAnsi="Arial" w:cs="Arial"/>
          <w:sz w:val="24"/>
          <w:szCs w:val="24"/>
        </w:rPr>
        <w:t xml:space="preserve"> journal entries related to income taxes for the above years.</w:t>
      </w:r>
    </w:p>
    <w:sectPr w:rsidR="00150DB9" w:rsidSect="00943A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0379"/>
    <w:multiLevelType w:val="hybridMultilevel"/>
    <w:tmpl w:val="EA1E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8106B"/>
    <w:multiLevelType w:val="hybridMultilevel"/>
    <w:tmpl w:val="895E3F9C"/>
    <w:lvl w:ilvl="0" w:tplc="672694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3035C1"/>
    <w:multiLevelType w:val="hybridMultilevel"/>
    <w:tmpl w:val="8AA433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7810D5"/>
    <w:multiLevelType w:val="hybridMultilevel"/>
    <w:tmpl w:val="6BC26C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3D1521"/>
    <w:multiLevelType w:val="hybridMultilevel"/>
    <w:tmpl w:val="C21E8D02"/>
    <w:lvl w:ilvl="0" w:tplc="8E04C3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2B5929"/>
    <w:multiLevelType w:val="hybridMultilevel"/>
    <w:tmpl w:val="BCE088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907E05"/>
    <w:multiLevelType w:val="hybridMultilevel"/>
    <w:tmpl w:val="0CFA4F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CD7F8E"/>
    <w:multiLevelType w:val="hybridMultilevel"/>
    <w:tmpl w:val="8472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252AB"/>
    <w:multiLevelType w:val="hybridMultilevel"/>
    <w:tmpl w:val="20828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B5848"/>
    <w:multiLevelType w:val="hybridMultilevel"/>
    <w:tmpl w:val="DF8827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7E5625"/>
    <w:multiLevelType w:val="hybridMultilevel"/>
    <w:tmpl w:val="973E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8C2AD4"/>
    <w:multiLevelType w:val="hybridMultilevel"/>
    <w:tmpl w:val="96887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7449B"/>
    <w:multiLevelType w:val="hybridMultilevel"/>
    <w:tmpl w:val="A612A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10"/>
  </w:num>
  <w:num w:numId="6">
    <w:abstractNumId w:val="9"/>
  </w:num>
  <w:num w:numId="7">
    <w:abstractNumId w:val="1"/>
  </w:num>
  <w:num w:numId="8">
    <w:abstractNumId w:val="4"/>
  </w:num>
  <w:num w:numId="9">
    <w:abstractNumId w:val="12"/>
  </w:num>
  <w:num w:numId="10">
    <w:abstractNumId w:val="5"/>
  </w:num>
  <w:num w:numId="11">
    <w:abstractNumId w:val="11"/>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87B"/>
    <w:rsid w:val="000407EE"/>
    <w:rsid w:val="00091D78"/>
    <w:rsid w:val="000A2CDC"/>
    <w:rsid w:val="000D075D"/>
    <w:rsid w:val="000F0899"/>
    <w:rsid w:val="00131C15"/>
    <w:rsid w:val="00150DB9"/>
    <w:rsid w:val="001535F3"/>
    <w:rsid w:val="00154F0D"/>
    <w:rsid w:val="00166022"/>
    <w:rsid w:val="001B1874"/>
    <w:rsid w:val="001C54A5"/>
    <w:rsid w:val="00222438"/>
    <w:rsid w:val="00222C1E"/>
    <w:rsid w:val="00234DE8"/>
    <w:rsid w:val="00262F5C"/>
    <w:rsid w:val="002830AA"/>
    <w:rsid w:val="00286D09"/>
    <w:rsid w:val="002D77A7"/>
    <w:rsid w:val="002E3A97"/>
    <w:rsid w:val="00345ACE"/>
    <w:rsid w:val="003A0565"/>
    <w:rsid w:val="003E321C"/>
    <w:rsid w:val="003E7DE9"/>
    <w:rsid w:val="00414045"/>
    <w:rsid w:val="00460A16"/>
    <w:rsid w:val="004759A8"/>
    <w:rsid w:val="0048475D"/>
    <w:rsid w:val="00496E70"/>
    <w:rsid w:val="004F7148"/>
    <w:rsid w:val="00536A0A"/>
    <w:rsid w:val="00570B07"/>
    <w:rsid w:val="005D6328"/>
    <w:rsid w:val="005E6785"/>
    <w:rsid w:val="005F3249"/>
    <w:rsid w:val="00610B18"/>
    <w:rsid w:val="00615152"/>
    <w:rsid w:val="00620C33"/>
    <w:rsid w:val="0063678E"/>
    <w:rsid w:val="00681678"/>
    <w:rsid w:val="00691C84"/>
    <w:rsid w:val="006B253C"/>
    <w:rsid w:val="00733CEE"/>
    <w:rsid w:val="00782182"/>
    <w:rsid w:val="007B58E1"/>
    <w:rsid w:val="007B679C"/>
    <w:rsid w:val="00841142"/>
    <w:rsid w:val="008C3823"/>
    <w:rsid w:val="009411A5"/>
    <w:rsid w:val="00943A4F"/>
    <w:rsid w:val="009458C1"/>
    <w:rsid w:val="009612C5"/>
    <w:rsid w:val="00A2150C"/>
    <w:rsid w:val="00A6002D"/>
    <w:rsid w:val="00A73E3C"/>
    <w:rsid w:val="00A872CF"/>
    <w:rsid w:val="00AD5630"/>
    <w:rsid w:val="00B1132E"/>
    <w:rsid w:val="00B122BC"/>
    <w:rsid w:val="00B7187B"/>
    <w:rsid w:val="00C11C49"/>
    <w:rsid w:val="00C42695"/>
    <w:rsid w:val="00C6700B"/>
    <w:rsid w:val="00C92068"/>
    <w:rsid w:val="00CC380B"/>
    <w:rsid w:val="00CE1A5C"/>
    <w:rsid w:val="00D07229"/>
    <w:rsid w:val="00D241B9"/>
    <w:rsid w:val="00D46E2E"/>
    <w:rsid w:val="00D838EF"/>
    <w:rsid w:val="00D87506"/>
    <w:rsid w:val="00DC2888"/>
    <w:rsid w:val="00DC2BE2"/>
    <w:rsid w:val="00DD6EB2"/>
    <w:rsid w:val="00E6382F"/>
    <w:rsid w:val="00E65167"/>
    <w:rsid w:val="00F47DEB"/>
    <w:rsid w:val="00F7664E"/>
    <w:rsid w:val="00F90FE7"/>
    <w:rsid w:val="00F93749"/>
    <w:rsid w:val="00FD6F1A"/>
    <w:rsid w:val="00FE21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1C15"/>
    <w:pPr>
      <w:spacing w:after="0" w:line="240" w:lineRule="auto"/>
    </w:pPr>
  </w:style>
  <w:style w:type="table" w:styleId="TableGrid">
    <w:name w:val="Table Grid"/>
    <w:basedOn w:val="TableNormal"/>
    <w:uiPriority w:val="59"/>
    <w:rsid w:val="005D6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3E3C"/>
    <w:pPr>
      <w:ind w:left="720"/>
      <w:contextualSpacing/>
    </w:pPr>
  </w:style>
  <w:style w:type="paragraph" w:styleId="BalloonText">
    <w:name w:val="Balloon Text"/>
    <w:basedOn w:val="Normal"/>
    <w:link w:val="BalloonTextChar"/>
    <w:uiPriority w:val="99"/>
    <w:semiHidden/>
    <w:unhideWhenUsed/>
    <w:rsid w:val="00C92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60918">
      <w:bodyDiv w:val="1"/>
      <w:marLeft w:val="0"/>
      <w:marRight w:val="0"/>
      <w:marTop w:val="0"/>
      <w:marBottom w:val="0"/>
      <w:divBdr>
        <w:top w:val="none" w:sz="0" w:space="0" w:color="auto"/>
        <w:left w:val="none" w:sz="0" w:space="0" w:color="auto"/>
        <w:bottom w:val="none" w:sz="0" w:space="0" w:color="auto"/>
        <w:right w:val="none" w:sz="0" w:space="0" w:color="auto"/>
      </w:divBdr>
    </w:div>
    <w:div w:id="478965959">
      <w:bodyDiv w:val="1"/>
      <w:marLeft w:val="0"/>
      <w:marRight w:val="0"/>
      <w:marTop w:val="0"/>
      <w:marBottom w:val="0"/>
      <w:divBdr>
        <w:top w:val="none" w:sz="0" w:space="0" w:color="auto"/>
        <w:left w:val="none" w:sz="0" w:space="0" w:color="auto"/>
        <w:bottom w:val="none" w:sz="0" w:space="0" w:color="auto"/>
        <w:right w:val="none" w:sz="0" w:space="0" w:color="auto"/>
      </w:divBdr>
    </w:div>
    <w:div w:id="656344203">
      <w:bodyDiv w:val="1"/>
      <w:marLeft w:val="0"/>
      <w:marRight w:val="0"/>
      <w:marTop w:val="0"/>
      <w:marBottom w:val="0"/>
      <w:divBdr>
        <w:top w:val="none" w:sz="0" w:space="0" w:color="auto"/>
        <w:left w:val="none" w:sz="0" w:space="0" w:color="auto"/>
        <w:bottom w:val="none" w:sz="0" w:space="0" w:color="auto"/>
        <w:right w:val="none" w:sz="0" w:space="0" w:color="auto"/>
      </w:divBdr>
    </w:div>
    <w:div w:id="1161585470">
      <w:bodyDiv w:val="1"/>
      <w:marLeft w:val="0"/>
      <w:marRight w:val="0"/>
      <w:marTop w:val="0"/>
      <w:marBottom w:val="0"/>
      <w:divBdr>
        <w:top w:val="none" w:sz="0" w:space="0" w:color="auto"/>
        <w:left w:val="none" w:sz="0" w:space="0" w:color="auto"/>
        <w:bottom w:val="none" w:sz="0" w:space="0" w:color="auto"/>
        <w:right w:val="none" w:sz="0" w:space="0" w:color="auto"/>
      </w:divBdr>
    </w:div>
    <w:div w:id="1912037264">
      <w:bodyDiv w:val="1"/>
      <w:marLeft w:val="0"/>
      <w:marRight w:val="0"/>
      <w:marTop w:val="0"/>
      <w:marBottom w:val="0"/>
      <w:divBdr>
        <w:top w:val="none" w:sz="0" w:space="0" w:color="auto"/>
        <w:left w:val="none" w:sz="0" w:space="0" w:color="auto"/>
        <w:bottom w:val="none" w:sz="0" w:space="0" w:color="auto"/>
        <w:right w:val="none" w:sz="0" w:space="0" w:color="auto"/>
      </w:divBdr>
    </w:div>
    <w:div w:id="2001277070">
      <w:bodyDiv w:val="1"/>
      <w:marLeft w:val="0"/>
      <w:marRight w:val="0"/>
      <w:marTop w:val="0"/>
      <w:marBottom w:val="0"/>
      <w:divBdr>
        <w:top w:val="none" w:sz="0" w:space="0" w:color="auto"/>
        <w:left w:val="none" w:sz="0" w:space="0" w:color="auto"/>
        <w:bottom w:val="none" w:sz="0" w:space="0" w:color="auto"/>
        <w:right w:val="none" w:sz="0" w:space="0" w:color="auto"/>
      </w:divBdr>
    </w:div>
    <w:div w:id="202443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WonderWoman</cp:lastModifiedBy>
  <cp:revision>2</cp:revision>
  <cp:lastPrinted>2011-02-05T19:38:00Z</cp:lastPrinted>
  <dcterms:created xsi:type="dcterms:W3CDTF">2011-10-11T00:37:00Z</dcterms:created>
  <dcterms:modified xsi:type="dcterms:W3CDTF">2011-10-11T00:37:00Z</dcterms:modified>
</cp:coreProperties>
</file>