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3D" w:rsidRPr="00B1771D" w:rsidRDefault="004118F7">
      <w:pPr>
        <w:rPr>
          <w:rFonts w:ascii="Times New Roman" w:hAnsi="Times New Roman" w:cs="Times New Roman"/>
          <w:sz w:val="24"/>
          <w:szCs w:val="24"/>
        </w:rPr>
      </w:pPr>
      <w:r w:rsidRPr="00B1771D">
        <w:rPr>
          <w:rFonts w:ascii="Times New Roman" w:hAnsi="Times New Roman" w:cs="Times New Roman"/>
          <w:sz w:val="24"/>
          <w:szCs w:val="24"/>
        </w:rPr>
        <w:t>On June 30, the end of the current fiscal year, the following information is available to Conti Company’s accountants for making adjusting entries:</w:t>
      </w:r>
    </w:p>
    <w:p w:rsidR="00236306" w:rsidRPr="00B1771D" w:rsidRDefault="00236306" w:rsidP="0023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1D">
        <w:rPr>
          <w:rFonts w:ascii="Times New Roman" w:hAnsi="Times New Roman" w:cs="Times New Roman"/>
          <w:sz w:val="24"/>
          <w:szCs w:val="24"/>
        </w:rPr>
        <w:t>Among the liabilities of the company is a mortgage payable in the amount of $260,000. On June 30, the accrued interest on this mortgage amounted to $13,000.</w:t>
      </w:r>
    </w:p>
    <w:p w:rsidR="00236306" w:rsidRPr="00B1771D" w:rsidRDefault="00236306" w:rsidP="0023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1D">
        <w:rPr>
          <w:rFonts w:ascii="Times New Roman" w:hAnsi="Times New Roman" w:cs="Times New Roman"/>
          <w:sz w:val="24"/>
          <w:szCs w:val="24"/>
        </w:rPr>
        <w:t>On Friday, July 2, the company, which is on five-day workweek and pays employees w</w:t>
      </w:r>
      <w:r w:rsidR="007D45E7" w:rsidRPr="00B1771D">
        <w:rPr>
          <w:rFonts w:ascii="Times New Roman" w:hAnsi="Times New Roman" w:cs="Times New Roman"/>
          <w:sz w:val="24"/>
          <w:szCs w:val="24"/>
        </w:rPr>
        <w:t>e</w:t>
      </w:r>
      <w:r w:rsidRPr="00B1771D">
        <w:rPr>
          <w:rFonts w:ascii="Times New Roman" w:hAnsi="Times New Roman" w:cs="Times New Roman"/>
          <w:sz w:val="24"/>
          <w:szCs w:val="24"/>
        </w:rPr>
        <w:t>ekly, will pay its regular salaried employees $18,700.</w:t>
      </w:r>
    </w:p>
    <w:p w:rsidR="00236306" w:rsidRPr="00B1771D" w:rsidRDefault="002D2DA0" w:rsidP="0023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1D">
        <w:rPr>
          <w:rFonts w:ascii="Times New Roman" w:hAnsi="Times New Roman" w:cs="Times New Roman"/>
          <w:sz w:val="24"/>
          <w:szCs w:val="24"/>
        </w:rPr>
        <w:t xml:space="preserve">On June 29, the company </w:t>
      </w:r>
      <w:r w:rsidR="007D45E7" w:rsidRPr="00B1771D">
        <w:rPr>
          <w:rFonts w:ascii="Times New Roman" w:hAnsi="Times New Roman" w:cs="Times New Roman"/>
          <w:sz w:val="24"/>
          <w:szCs w:val="24"/>
        </w:rPr>
        <w:t>completed negotiations and signed a contract to provide monthly services to a new client at an annual rate of $7,200.</w:t>
      </w:r>
    </w:p>
    <w:p w:rsidR="007D45E7" w:rsidRPr="00B1771D" w:rsidRDefault="007D45E7" w:rsidP="0023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1D">
        <w:rPr>
          <w:rFonts w:ascii="Times New Roman" w:hAnsi="Times New Roman" w:cs="Times New Roman"/>
          <w:sz w:val="24"/>
          <w:szCs w:val="24"/>
        </w:rPr>
        <w:t>The supply account shows a beginning balance of $1,615 and purchases during the year of $4,115. The end-of-year inventory reveals supplies on hand of $1,318.</w:t>
      </w:r>
    </w:p>
    <w:p w:rsidR="007D45E7" w:rsidRPr="00B1771D" w:rsidRDefault="007D45E7" w:rsidP="002363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71D">
        <w:rPr>
          <w:rFonts w:ascii="Times New Roman" w:hAnsi="Times New Roman" w:cs="Times New Roman"/>
          <w:sz w:val="24"/>
          <w:szCs w:val="24"/>
        </w:rPr>
        <w:t>The Prepaid insurance account shows the following entries on June 30:</w:t>
      </w:r>
    </w:p>
    <w:p w:rsidR="007D45E7" w:rsidRPr="00B1771D" w:rsidRDefault="007D45E7" w:rsidP="007D45E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771D">
        <w:rPr>
          <w:rFonts w:ascii="Times New Roman" w:hAnsi="Times New Roman" w:cs="Times New Roman"/>
          <w:b/>
          <w:sz w:val="24"/>
          <w:szCs w:val="24"/>
        </w:rPr>
        <w:t>Beginning balance</w:t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  <w:t>$1,620</w:t>
      </w:r>
    </w:p>
    <w:p w:rsidR="007D45E7" w:rsidRPr="00B1771D" w:rsidRDefault="007D45E7" w:rsidP="007D45E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771D">
        <w:rPr>
          <w:rFonts w:ascii="Times New Roman" w:hAnsi="Times New Roman" w:cs="Times New Roman"/>
          <w:b/>
          <w:sz w:val="24"/>
          <w:szCs w:val="24"/>
        </w:rPr>
        <w:t>January 1</w:t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  <w:t>2,900</w:t>
      </w:r>
    </w:p>
    <w:p w:rsidR="007D45E7" w:rsidRPr="00B1771D" w:rsidRDefault="007D45E7" w:rsidP="007D45E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1771D">
        <w:rPr>
          <w:rFonts w:ascii="Times New Roman" w:hAnsi="Times New Roman" w:cs="Times New Roman"/>
          <w:b/>
          <w:sz w:val="24"/>
          <w:szCs w:val="24"/>
        </w:rPr>
        <w:t xml:space="preserve">May 1 </w:t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</w:r>
      <w:r w:rsidRPr="00B1771D">
        <w:rPr>
          <w:rFonts w:ascii="Times New Roman" w:hAnsi="Times New Roman" w:cs="Times New Roman"/>
          <w:b/>
          <w:sz w:val="24"/>
          <w:szCs w:val="24"/>
        </w:rPr>
        <w:tab/>
        <w:t>3,366</w:t>
      </w:r>
    </w:p>
    <w:p w:rsidR="007D45E7" w:rsidRPr="00B1771D" w:rsidRDefault="007D45E7" w:rsidP="007D45E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C7F81" w:rsidRDefault="00147926" w:rsidP="007D45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beginning balance represents the unexpired portion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on0year policy purchased in April of the previous year. The January 1 entry represents a new one-year policy, and the May 1 entry represents the additional coverage of three-year policy.</w:t>
      </w:r>
    </w:p>
    <w:p w:rsidR="00147926" w:rsidRDefault="00147926" w:rsidP="007D45E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47926" w:rsidRDefault="00DB1686" w:rsidP="001479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table contains the cost and annual depreciation for buildings and equipment, all of which were purchased before the current year:</w:t>
      </w:r>
    </w:p>
    <w:p w:rsidR="00DB1686" w:rsidRDefault="00DB1686" w:rsidP="00DB16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2430"/>
        <w:gridCol w:w="2970"/>
      </w:tblGrid>
      <w:tr w:rsidR="00DB1686" w:rsidTr="00DB1686">
        <w:trPr>
          <w:trHeight w:val="440"/>
        </w:trPr>
        <w:tc>
          <w:tcPr>
            <w:tcW w:w="2268" w:type="dxa"/>
          </w:tcPr>
          <w:p w:rsidR="00DB1686" w:rsidRPr="00DB1686" w:rsidRDefault="00DB1686" w:rsidP="00DB168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Account</w:t>
            </w:r>
          </w:p>
        </w:tc>
        <w:tc>
          <w:tcPr>
            <w:tcW w:w="2430" w:type="dxa"/>
          </w:tcPr>
          <w:p w:rsidR="00DB1686" w:rsidRPr="00DB1686" w:rsidRDefault="00DB1686" w:rsidP="00DB168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2970" w:type="dxa"/>
          </w:tcPr>
          <w:p w:rsidR="00DB1686" w:rsidRPr="00DB1686" w:rsidRDefault="00DB1686" w:rsidP="00DB168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Depreciation</w:t>
            </w:r>
          </w:p>
        </w:tc>
      </w:tr>
      <w:tr w:rsidR="00DB1686" w:rsidTr="00C859B0">
        <w:trPr>
          <w:trHeight w:val="350"/>
        </w:trPr>
        <w:tc>
          <w:tcPr>
            <w:tcW w:w="2268" w:type="dxa"/>
          </w:tcPr>
          <w:p w:rsidR="00DB1686" w:rsidRDefault="00DB1686" w:rsidP="00DB16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</w:p>
        </w:tc>
        <w:tc>
          <w:tcPr>
            <w:tcW w:w="2430" w:type="dxa"/>
          </w:tcPr>
          <w:p w:rsidR="00DB1686" w:rsidRDefault="00DB1686" w:rsidP="00DB16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$170,000</w:t>
            </w:r>
          </w:p>
        </w:tc>
        <w:tc>
          <w:tcPr>
            <w:tcW w:w="2970" w:type="dxa"/>
          </w:tcPr>
          <w:p w:rsidR="00DB1686" w:rsidRDefault="00DB1686" w:rsidP="00DB16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$7,300</w:t>
            </w:r>
          </w:p>
        </w:tc>
      </w:tr>
      <w:tr w:rsidR="00DB1686" w:rsidTr="00C859B0">
        <w:trPr>
          <w:trHeight w:val="260"/>
        </w:trPr>
        <w:tc>
          <w:tcPr>
            <w:tcW w:w="2268" w:type="dxa"/>
          </w:tcPr>
          <w:p w:rsidR="00DB1686" w:rsidRDefault="00DB1686" w:rsidP="00DB16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2430" w:type="dxa"/>
          </w:tcPr>
          <w:p w:rsidR="00DB1686" w:rsidRDefault="00DB1686" w:rsidP="00DB16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218,000</w:t>
            </w:r>
          </w:p>
        </w:tc>
        <w:tc>
          <w:tcPr>
            <w:tcW w:w="2970" w:type="dxa"/>
          </w:tcPr>
          <w:p w:rsidR="00DB1686" w:rsidRDefault="00DB1686" w:rsidP="00DB16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20,650</w:t>
            </w:r>
          </w:p>
        </w:tc>
      </w:tr>
    </w:tbl>
    <w:p w:rsidR="00DB1686" w:rsidRDefault="00DB1686" w:rsidP="00DB16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B0" w:rsidRDefault="00AC2EFE" w:rsidP="00AC2E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1, the company completed negotiations with another client and accepted an advance of $21,600 for services to be performed in the next year. The $21,600 for services to be performed in the next year. The $21,600</w:t>
      </w:r>
      <w:r w:rsidR="00004D15">
        <w:rPr>
          <w:rFonts w:ascii="Times New Roman" w:hAnsi="Times New Roman" w:cs="Times New Roman"/>
          <w:sz w:val="24"/>
          <w:szCs w:val="24"/>
        </w:rPr>
        <w:t xml:space="preserve"> was credited to unearned service revenue.</w:t>
      </w:r>
    </w:p>
    <w:p w:rsidR="00004D15" w:rsidRDefault="0031500B" w:rsidP="00AC2E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calculates </w:t>
      </w:r>
      <w:r w:rsidR="00AF5CAE">
        <w:rPr>
          <w:rFonts w:ascii="Times New Roman" w:hAnsi="Times New Roman" w:cs="Times New Roman"/>
          <w:sz w:val="24"/>
          <w:szCs w:val="24"/>
        </w:rPr>
        <w:t>that as of June 30 it had earned $4,500 on a $7,500 contract that will be completed and billed in August.</w:t>
      </w:r>
    </w:p>
    <w:p w:rsidR="00CB53A6" w:rsidRDefault="00CB53A6" w:rsidP="00CB53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53A6" w:rsidRDefault="00CB53A6" w:rsidP="00CB53A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53A6" w:rsidRDefault="00CB53A6" w:rsidP="00CB53A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CB53A6" w:rsidRDefault="00CB53A6" w:rsidP="00CB53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adjusting entries for each item listed above</w:t>
      </w:r>
    </w:p>
    <w:p w:rsidR="00CB53A6" w:rsidRPr="00CB53A6" w:rsidRDefault="00CB53A6" w:rsidP="00CB53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conditions for revenue recognition are applied to transactions C &amp; H. </w:t>
      </w:r>
    </w:p>
    <w:sectPr w:rsidR="00CB53A6" w:rsidRPr="00CB53A6" w:rsidSect="00AC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DAB"/>
    <w:multiLevelType w:val="hybridMultilevel"/>
    <w:tmpl w:val="2256B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F2316"/>
    <w:multiLevelType w:val="hybridMultilevel"/>
    <w:tmpl w:val="94AAC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8F7"/>
    <w:rsid w:val="00004D15"/>
    <w:rsid w:val="00147926"/>
    <w:rsid w:val="00236306"/>
    <w:rsid w:val="002D2DA0"/>
    <w:rsid w:val="0031500B"/>
    <w:rsid w:val="00406634"/>
    <w:rsid w:val="004118F7"/>
    <w:rsid w:val="007D45E7"/>
    <w:rsid w:val="00AC2EFE"/>
    <w:rsid w:val="00AC4F3D"/>
    <w:rsid w:val="00AF5CAE"/>
    <w:rsid w:val="00B1771D"/>
    <w:rsid w:val="00C859B0"/>
    <w:rsid w:val="00CB53A6"/>
    <w:rsid w:val="00DB1686"/>
    <w:rsid w:val="00DC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306"/>
    <w:pPr>
      <w:ind w:left="720"/>
      <w:contextualSpacing/>
    </w:pPr>
  </w:style>
  <w:style w:type="table" w:styleId="TableGrid">
    <w:name w:val="Table Grid"/>
    <w:basedOn w:val="TableNormal"/>
    <w:uiPriority w:val="59"/>
    <w:rsid w:val="00DB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13</cp:revision>
  <dcterms:created xsi:type="dcterms:W3CDTF">2011-09-16T05:43:00Z</dcterms:created>
  <dcterms:modified xsi:type="dcterms:W3CDTF">2011-09-16T09:25:00Z</dcterms:modified>
</cp:coreProperties>
</file>