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Myriad-Bold" w:hAnsi="Myriad-Bold" w:cs="Myriad-Bold"/>
          <w:b/>
          <w:bCs/>
          <w:color w:val="DA0000"/>
          <w:sz w:val="32"/>
          <w:szCs w:val="32"/>
        </w:rPr>
      </w:pPr>
      <w:r w:rsidRPr="000B54DD">
        <w:rPr>
          <w:rFonts w:ascii="Myriad-Bold" w:hAnsi="Myriad-Bold" w:cs="Myriad-Bold"/>
          <w:b/>
          <w:bCs/>
          <w:color w:val="DA0000"/>
          <w:sz w:val="32"/>
          <w:szCs w:val="32"/>
        </w:rPr>
        <w:t>DISCLOSURE OF PROPERTY, PLANT, AND EQUIPMENT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>A company must disclose the balances of its major classes of depreciable assets by nature or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function.13 </w:t>
      </w:r>
      <w:proofErr w:type="gramStart"/>
      <w:r w:rsidRPr="000B54DD">
        <w:rPr>
          <w:rFonts w:ascii="Giovanni-Book" w:hAnsi="Giovanni-Book" w:cs="Giovanni-Book"/>
          <w:color w:val="000000"/>
          <w:sz w:val="32"/>
          <w:szCs w:val="32"/>
        </w:rPr>
        <w:t>We</w:t>
      </w:r>
      <w:proofErr w:type="gramEnd"/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 show an example of each of these methods in Real Report 10-1. </w:t>
      </w:r>
      <w:r w:rsidRPr="000B54DD">
        <w:rPr>
          <w:rFonts w:ascii="Giovanni-Bold" w:hAnsi="Giovanni-Bold" w:cs="Giovanni-Bold"/>
          <w:b/>
          <w:bCs/>
          <w:color w:val="DA0000"/>
          <w:sz w:val="32"/>
          <w:szCs w:val="32"/>
        </w:rPr>
        <w:t>Johnson &amp;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ld" w:hAnsi="Giovanni-Bold" w:cs="Giovanni-Bold"/>
          <w:b/>
          <w:bCs/>
          <w:color w:val="DA0000"/>
          <w:sz w:val="32"/>
          <w:szCs w:val="32"/>
        </w:rPr>
        <w:t xml:space="preserve">Johnson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discloses by the nature of the assets, such as land, buildings, and machinery.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ld" w:hAnsi="Giovanni-Bold" w:cs="Giovanni-Bold"/>
          <w:b/>
          <w:bCs/>
          <w:color w:val="DA0000"/>
          <w:sz w:val="32"/>
          <w:szCs w:val="32"/>
        </w:rPr>
        <w:t xml:space="preserve">Norfolk Southern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discloses by function, such as road and equipment.</w:t>
      </w:r>
    </w:p>
    <w:p w:rsidR="00EC32EC" w:rsidRDefault="00EC32EC" w:rsidP="000B54DD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32"/>
          <w:szCs w:val="32"/>
        </w:rPr>
      </w:pP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000000"/>
          <w:sz w:val="32"/>
          <w:szCs w:val="32"/>
        </w:rPr>
      </w:pPr>
      <w:r w:rsidRPr="000B54DD">
        <w:rPr>
          <w:rFonts w:ascii="Myriad-Roman" w:hAnsi="Myriad-Roman" w:cs="Myriad-Roman"/>
          <w:color w:val="000000"/>
          <w:sz w:val="32"/>
          <w:szCs w:val="32"/>
        </w:rPr>
        <w:t xml:space="preserve">Chapter 10 </w:t>
      </w:r>
      <w:r w:rsidRPr="000B54DD">
        <w:rPr>
          <w:rFonts w:ascii="Myriad-Roman" w:hAnsi="Myriad-Roman" w:cs="Myriad-Roman"/>
          <w:color w:val="3333FF"/>
          <w:sz w:val="32"/>
          <w:szCs w:val="32"/>
        </w:rPr>
        <w:t xml:space="preserve">• </w:t>
      </w:r>
      <w:r w:rsidRPr="000B54DD">
        <w:rPr>
          <w:rFonts w:ascii="Myriad-Roman" w:hAnsi="Myriad-Roman" w:cs="Myriad-Roman"/>
          <w:color w:val="000000"/>
          <w:sz w:val="32"/>
          <w:szCs w:val="32"/>
        </w:rPr>
        <w:t>Property, Plant, and Equipment: Acquisition and Disposal</w:t>
      </w:r>
    </w:p>
    <w:p w:rsidR="00EC32EC" w:rsidRDefault="00EC32EC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</w:p>
    <w:p w:rsidR="00EC32EC" w:rsidRPr="00EC32EC" w:rsidRDefault="00EC32EC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  <w:r w:rsidRPr="00EC32EC">
        <w:rPr>
          <w:rFonts w:ascii="Giovanni-Bold" w:hAnsi="Giovanni-Bold" w:cs="Giovanni-Bold"/>
          <w:b/>
          <w:bCs/>
          <w:color w:val="009AFF"/>
          <w:sz w:val="32"/>
          <w:szCs w:val="32"/>
        </w:rPr>
        <w:t>Real Report 10-1 Disclosures of Depreciable Assets</w:t>
      </w:r>
    </w:p>
    <w:p w:rsidR="00EC32EC" w:rsidRDefault="00EC32EC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>JOHNSON &amp; JOHNSON AND SUBSIDIARIES</w:t>
      </w:r>
    </w:p>
    <w:p w:rsid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Italic" w:hAnsi="Giovanni-BookItalic" w:cs="Giovanni-BookItalic"/>
          <w:i/>
          <w:iCs/>
          <w:color w:val="000000"/>
          <w:sz w:val="32"/>
          <w:szCs w:val="32"/>
        </w:rPr>
      </w:pPr>
      <w:r w:rsidRPr="000B54DD">
        <w:rPr>
          <w:rFonts w:ascii="Giovanni-BookItalic" w:hAnsi="Giovanni-BookItalic" w:cs="Giovanni-BookItalic"/>
          <w:i/>
          <w:iCs/>
          <w:color w:val="000000"/>
          <w:sz w:val="32"/>
          <w:szCs w:val="32"/>
        </w:rPr>
        <w:t>NOTES TO CONSOLIDATED FINANCIAL STATEMENTS (in part)</w:t>
      </w:r>
      <w:r>
        <w:rPr>
          <w:rFonts w:ascii="Giovanni-BookItalic" w:hAnsi="Giovanni-BookItalic" w:cs="Giovanni-BookItalic"/>
          <w:i/>
          <w:iCs/>
          <w:color w:val="000000"/>
          <w:sz w:val="32"/>
          <w:szCs w:val="32"/>
        </w:rPr>
        <w:t xml:space="preserve"> </w:t>
      </w:r>
    </w:p>
    <w:p w:rsid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Italic" w:hAnsi="Giovanni-BookItalic" w:cs="Giovanni-BookItalic"/>
          <w:i/>
          <w:iCs/>
          <w:color w:val="000000"/>
          <w:sz w:val="32"/>
          <w:szCs w:val="32"/>
        </w:rPr>
      </w:pP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Italic" w:hAnsi="Giovanni-BookItalic" w:cs="Giovanni-BookItalic"/>
          <w:i/>
          <w:iCs/>
          <w:color w:val="000000"/>
          <w:sz w:val="32"/>
          <w:szCs w:val="32"/>
        </w:rPr>
      </w:pP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>Note 1. Summary of Accounting Principles (in part):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>Property, Plant, and Equipment and Depreciation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>Property, plant, and equipment are stated at cost. The Company utilizes the straight-line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method of depreciation over the estimated useful lives of the assets: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>Building and building equipment 20–40 years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>Land and leasehold improvements 10–20 years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>Machinery and equipment 2–13 years</w:t>
      </w:r>
    </w:p>
    <w:p w:rsid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>Note 3 Property, Plant and Equipment (in part)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>At the end of 2007 and 2006, property, plant and equipment at cost and accumulated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depreciation were:</w:t>
      </w:r>
    </w:p>
    <w:p w:rsid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</w:p>
    <w:p w:rsid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>(</w:t>
      </w:r>
      <w:r w:rsidRPr="000B54DD">
        <w:rPr>
          <w:rFonts w:ascii="Giovanni-BoldItalic" w:hAnsi="Giovanni-BoldItalic" w:cs="Giovanni-BoldItalic"/>
          <w:b/>
          <w:bCs/>
          <w:i/>
          <w:iCs/>
          <w:color w:val="000000"/>
          <w:sz w:val="32"/>
          <w:szCs w:val="32"/>
        </w:rPr>
        <w:t>Dollars in Millions</w:t>
      </w: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 xml:space="preserve">) </w:t>
      </w:r>
      <w:r>
        <w:rPr>
          <w:rFonts w:ascii="Giovanni-Bold" w:hAnsi="Giovanni-Bold" w:cs="Giovanni-Bold"/>
          <w:b/>
          <w:bCs/>
          <w:color w:val="000000"/>
          <w:sz w:val="32"/>
          <w:szCs w:val="32"/>
        </w:rPr>
        <w:t xml:space="preserve">                                        </w:t>
      </w: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 xml:space="preserve">2007 </w:t>
      </w:r>
      <w:r>
        <w:rPr>
          <w:rFonts w:ascii="Giovanni-Bold" w:hAnsi="Giovanni-Bold" w:cs="Giovanni-Bold"/>
          <w:b/>
          <w:bCs/>
          <w:color w:val="000000"/>
          <w:sz w:val="32"/>
          <w:szCs w:val="32"/>
        </w:rPr>
        <w:t xml:space="preserve">                 </w:t>
      </w: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>2006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Land and land improvements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$ 756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$ 611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Buildings and building equipment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7,913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7,347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Machinery and equipment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 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14,554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13,108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Construction in progress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                   </w:t>
      </w:r>
      <w:r w:rsidRPr="000B54DD">
        <w:rPr>
          <w:rFonts w:ascii="Giovanni-Book" w:hAnsi="Giovanni-Book" w:cs="Giovanni-Book"/>
          <w:color w:val="000000"/>
          <w:sz w:val="32"/>
          <w:szCs w:val="32"/>
          <w:u w:val="single"/>
        </w:rPr>
        <w:t>3,243                 2,962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                                            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26,466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24,028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  <w:u w:val="single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lastRenderedPageBreak/>
        <w:t xml:space="preserve">Less accumulated depreciation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        </w:t>
      </w:r>
      <w:r w:rsidRPr="000B54DD">
        <w:rPr>
          <w:rFonts w:ascii="Giovanni-Book" w:hAnsi="Giovanni-Book" w:cs="Giovanni-Book"/>
          <w:color w:val="000000"/>
          <w:sz w:val="32"/>
          <w:szCs w:val="32"/>
          <w:u w:val="single"/>
        </w:rPr>
        <w:t>12,281               10,984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                                         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$ 14,185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$13,044</w:t>
      </w:r>
    </w:p>
    <w:p w:rsidR="00E67F5F" w:rsidRDefault="00EC32EC" w:rsidP="000B54DD">
      <w:pPr>
        <w:rPr>
          <w:rFonts w:ascii="Giovanni-Bold" w:hAnsi="Giovanni-Bold" w:cs="Giovanni-Bold"/>
          <w:b/>
          <w:bCs/>
          <w:color w:val="009AFF"/>
          <w:sz w:val="32"/>
          <w:szCs w:val="32"/>
        </w:rPr>
      </w:pP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>The Company capitalizes interest expense as part of the cost of construction of facilities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and equipment. Interest expense capitalized in 2007, 2006 and 2005 was $130 million,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$118 million and $111 million, respectively.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Upon retirement or other disposal of fixed assets, the cost and related amount of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accumulated depreciation or amortization are eliminated from the asset and accumulated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depreciation accounts, respectively. The difference, if any, between the net asset value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and the proceeds is adjusted to earnings.</w:t>
      </w:r>
    </w:p>
    <w:p w:rsid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>NORFOLK SOUTHERN CORPORATION AND SUBSIDIARIES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Italic" w:hAnsi="Giovanni-BookItalic" w:cs="Giovanni-BookItalic"/>
          <w:i/>
          <w:iCs/>
          <w:color w:val="000000"/>
          <w:sz w:val="32"/>
          <w:szCs w:val="32"/>
        </w:rPr>
      </w:pPr>
      <w:r w:rsidRPr="000B54DD">
        <w:rPr>
          <w:rFonts w:ascii="Giovanni-BookItalic" w:hAnsi="Giovanni-BookItalic" w:cs="Giovanni-BookItalic"/>
          <w:i/>
          <w:iCs/>
          <w:color w:val="000000"/>
          <w:sz w:val="32"/>
          <w:szCs w:val="32"/>
        </w:rPr>
        <w:t>NOTES TO CONSOLIDATED FINANCIAL STATEMENTS (in part)</w:t>
      </w:r>
    </w:p>
    <w:p w:rsid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  <w:proofErr w:type="gramStart"/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>Note 1.</w:t>
      </w:r>
      <w:proofErr w:type="gramEnd"/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 xml:space="preserve"> Summary of Significant Accounting Policies (in part):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Italic" w:hAnsi="Giovanni-BookItalic" w:cs="Giovanni-BookItalic"/>
          <w:i/>
          <w:iCs/>
          <w:color w:val="000000"/>
          <w:sz w:val="32"/>
          <w:szCs w:val="32"/>
        </w:rPr>
        <w:t>Properties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: “Properties” are stated principally at cost and are depreciated using group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depreciation. Rail is depreciated primarily on the basis of use measured by gross ton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miles. Other properties are depreciated generally using the straight-line method over the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lesser of estimated service or lease lives. NS capitalizes interest on major capital projects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during the period of their construction. Depletion of natural resources is based on units of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production. Depreciation in the Consolidated Statements of Cash Flows includes depreciation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and depletion. Expenditures, including those on leased </w:t>
      </w:r>
      <w:r>
        <w:rPr>
          <w:rFonts w:ascii="Giovanni-Book" w:hAnsi="Giovanni-Book" w:cs="Giovanni-Book"/>
          <w:color w:val="000000"/>
          <w:sz w:val="32"/>
          <w:szCs w:val="32"/>
        </w:rPr>
        <w:t>assets,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 that extend an asset’s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useful life or increase its utility, are capitalized. Costs related to repairs and maintenance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activities that do not extend an asset’s useful life or increase its utility are expensed when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such repairs are performed. When properties other than land and non-rail assets are sold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or retired in the ordinary course of business, the cost of the assets, net of sale proceeds or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salvage, is charged to accumulated depreciation, and no gain or loss is recognized through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income. Gains and losses on disposal of land and non-rail assets are included in “Other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income-net” since such income is not a product of NS’ railroad operations.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NS reviews the carrying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lastRenderedPageBreak/>
        <w:t>amount of properties whenever events or changes in circumstances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indicate that such carrying amount may not be recoverable based on future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undiscounted cash flows. Assets that are deemed impaired as a result of such review are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recorded at the lower of carrying amount or fair value.</w:t>
      </w:r>
    </w:p>
    <w:p w:rsid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  <w:proofErr w:type="gramStart"/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>Note 5.</w:t>
      </w:r>
      <w:proofErr w:type="gramEnd"/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 xml:space="preserve"> Properties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</w:rPr>
      </w:pP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</w:rPr>
        <w:t>December 31, Depreciation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ld" w:hAnsi="Giovanni-Bold" w:cs="Giovanni-Bold"/>
          <w:b/>
          <w:bCs/>
          <w:color w:val="000000"/>
          <w:sz w:val="32"/>
          <w:szCs w:val="32"/>
          <w:u w:val="single"/>
        </w:rPr>
      </w:pP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  <w:u w:val="single"/>
        </w:rPr>
        <w:t xml:space="preserve">($ in millions) </w:t>
      </w:r>
      <w:r>
        <w:rPr>
          <w:rFonts w:ascii="Giovanni-Bold" w:hAnsi="Giovanni-Bold" w:cs="Giovanni-Bold"/>
          <w:b/>
          <w:bCs/>
          <w:color w:val="000000"/>
          <w:sz w:val="32"/>
          <w:szCs w:val="32"/>
          <w:u w:val="single"/>
        </w:rPr>
        <w:t xml:space="preserve">                                   </w:t>
      </w: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  <w:u w:val="single"/>
        </w:rPr>
        <w:t xml:space="preserve">2007 </w:t>
      </w:r>
      <w:r>
        <w:rPr>
          <w:rFonts w:ascii="Giovanni-Bold" w:hAnsi="Giovanni-Bold" w:cs="Giovanni-Bold"/>
          <w:b/>
          <w:bCs/>
          <w:color w:val="000000"/>
          <w:sz w:val="32"/>
          <w:szCs w:val="32"/>
          <w:u w:val="single"/>
        </w:rPr>
        <w:t xml:space="preserve">         </w:t>
      </w: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  <w:u w:val="single"/>
        </w:rPr>
        <w:t xml:space="preserve">2006 </w:t>
      </w:r>
      <w:r>
        <w:rPr>
          <w:rFonts w:ascii="Giovanni-Bold" w:hAnsi="Giovanni-Bold" w:cs="Giovanni-Bold"/>
          <w:b/>
          <w:bCs/>
          <w:color w:val="000000"/>
          <w:sz w:val="32"/>
          <w:szCs w:val="32"/>
          <w:u w:val="single"/>
        </w:rPr>
        <w:t xml:space="preserve">       </w:t>
      </w:r>
      <w:r w:rsidRPr="000B54DD">
        <w:rPr>
          <w:rFonts w:ascii="Giovanni-Bold" w:hAnsi="Giovanni-Bold" w:cs="Giovanni-Bold"/>
          <w:b/>
          <w:bCs/>
          <w:color w:val="000000"/>
          <w:sz w:val="32"/>
          <w:szCs w:val="32"/>
          <w:u w:val="single"/>
        </w:rPr>
        <w:t>Rate for 2007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Land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                  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$ 2,085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$ 2,082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>Railway property: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Road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                   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19,420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 18,725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2.7%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Equipment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            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7,413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7,085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3.7%</w:t>
      </w:r>
    </w:p>
    <w:p w:rsidR="000B54DD" w:rsidRPr="00EC32EC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  <w:u w:val="single"/>
        </w:rPr>
      </w:pPr>
      <w:r w:rsidRPr="00EC32EC">
        <w:rPr>
          <w:rFonts w:ascii="Giovanni-Book" w:hAnsi="Giovanni-Book" w:cs="Giovanni-Book"/>
          <w:color w:val="000000"/>
          <w:sz w:val="32"/>
          <w:szCs w:val="32"/>
          <w:u w:val="single"/>
        </w:rPr>
        <w:t>Other property                                      471               471               2.3%</w:t>
      </w:r>
    </w:p>
    <w:p w:rsidR="000B54DD" w:rsidRPr="000B54DD" w:rsidRDefault="00EC32EC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>
        <w:rPr>
          <w:rFonts w:ascii="Giovanni-Book" w:hAnsi="Giovanni-Book" w:cs="Giovanni-Book"/>
          <w:color w:val="000000"/>
          <w:sz w:val="32"/>
          <w:szCs w:val="32"/>
        </w:rPr>
        <w:t xml:space="preserve">                                                        </w:t>
      </w:r>
      <w:r w:rsidR="000B54DD" w:rsidRPr="000B54DD">
        <w:rPr>
          <w:rFonts w:ascii="Giovanni-Book" w:hAnsi="Giovanni-Book" w:cs="Giovanni-Book"/>
          <w:color w:val="000000"/>
          <w:sz w:val="32"/>
          <w:szCs w:val="32"/>
        </w:rPr>
        <w:t xml:space="preserve">29,389 </w:t>
      </w:r>
      <w:r>
        <w:rPr>
          <w:rFonts w:ascii="Giovanni-Book" w:hAnsi="Giovanni-Book" w:cs="Giovanni-Book"/>
          <w:color w:val="000000"/>
          <w:sz w:val="32"/>
          <w:szCs w:val="32"/>
        </w:rPr>
        <w:t xml:space="preserve">          </w:t>
      </w:r>
      <w:r w:rsidR="000B54DD" w:rsidRPr="000B54DD">
        <w:rPr>
          <w:rFonts w:ascii="Giovanni-Book" w:hAnsi="Giovanni-Book" w:cs="Giovanni-Book"/>
          <w:color w:val="000000"/>
          <w:sz w:val="32"/>
          <w:szCs w:val="32"/>
        </w:rPr>
        <w:t>28,363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Less: Accumulated depreciation </w:t>
      </w:r>
      <w:r w:rsidR="00EC32EC">
        <w:rPr>
          <w:rFonts w:ascii="Giovanni-Book" w:hAnsi="Giovanni-Book" w:cs="Giovanni-Book"/>
          <w:color w:val="000000"/>
          <w:sz w:val="32"/>
          <w:szCs w:val="32"/>
        </w:rPr>
        <w:t xml:space="preserve">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(7,806)</w:t>
      </w:r>
      <w:r w:rsidR="00EC32EC">
        <w:rPr>
          <w:rFonts w:ascii="Giovanni-Book" w:hAnsi="Giovanni-Book" w:cs="Giovanni-Book"/>
          <w:color w:val="000000"/>
          <w:sz w:val="32"/>
          <w:szCs w:val="32"/>
        </w:rPr>
        <w:t xml:space="preserve">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 (7,265)</w:t>
      </w: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Net properties </w:t>
      </w:r>
      <w:r w:rsidR="00EC32EC">
        <w:rPr>
          <w:rFonts w:ascii="Giovanni-Book" w:hAnsi="Giovanni-Book" w:cs="Giovanni-Book"/>
          <w:color w:val="000000"/>
          <w:sz w:val="32"/>
          <w:szCs w:val="32"/>
        </w:rPr>
        <w:t xml:space="preserve">                      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 xml:space="preserve">$21,583 </w:t>
      </w:r>
      <w:r w:rsidR="00EC32EC">
        <w:rPr>
          <w:rFonts w:ascii="Giovanni-Book" w:hAnsi="Giovanni-Book" w:cs="Giovanni-Book"/>
          <w:color w:val="000000"/>
          <w:sz w:val="32"/>
          <w:szCs w:val="32"/>
        </w:rPr>
        <w:t xml:space="preserve">        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$21,098</w:t>
      </w:r>
    </w:p>
    <w:p w:rsidR="00EC32EC" w:rsidRDefault="00EC32EC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</w:p>
    <w:p w:rsidR="000B54DD" w:rsidRPr="000B54DD" w:rsidRDefault="000B54DD" w:rsidP="000B54DD">
      <w:pPr>
        <w:autoSpaceDE w:val="0"/>
        <w:autoSpaceDN w:val="0"/>
        <w:adjustRightInd w:val="0"/>
        <w:spacing w:after="0" w:line="240" w:lineRule="auto"/>
        <w:rPr>
          <w:rFonts w:ascii="Giovanni-Book" w:hAnsi="Giovanni-Book" w:cs="Giovanni-Book"/>
          <w:color w:val="000000"/>
          <w:sz w:val="32"/>
          <w:szCs w:val="32"/>
        </w:rPr>
      </w:pPr>
      <w:r w:rsidRPr="000B54DD">
        <w:rPr>
          <w:rFonts w:ascii="Giovanni-Book" w:hAnsi="Giovanni-Book" w:cs="Giovanni-Book"/>
          <w:color w:val="000000"/>
          <w:sz w:val="32"/>
          <w:szCs w:val="32"/>
        </w:rPr>
        <w:t>Railway property includes $504 mi</w:t>
      </w:r>
      <w:r w:rsidR="00EC32EC">
        <w:rPr>
          <w:rFonts w:ascii="Giovanni-Book" w:hAnsi="Giovanni-Book" w:cs="Giovanni-Book"/>
          <w:color w:val="000000"/>
          <w:sz w:val="32"/>
          <w:szCs w:val="32"/>
        </w:rPr>
        <w:t xml:space="preserve">llion at Dec. 31, 2007 and $602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million at</w:t>
      </w:r>
      <w:r w:rsidR="00EC32EC"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Dec. 31, 2006, of assets recorded pursuant to capital leases with accumulated amortization</w:t>
      </w:r>
      <w:r w:rsidR="00EC32EC"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of $175 million and $192 million at Dec. 31, 2007 and 2006, respectively.</w:t>
      </w:r>
      <w:r w:rsidR="00EC32EC"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Other property includes the costs of obtaining rights to natural resources of $337 million</w:t>
      </w:r>
      <w:r w:rsidR="00EC32EC"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at Dec. 31, 2007 and 2006 with accumulated depletion of $172 million and $165 million</w:t>
      </w:r>
      <w:r w:rsidR="00EC32EC"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at Dec. 31, 2007 and 2006, respectively.</w:t>
      </w:r>
      <w:r w:rsidR="00EC32EC"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Total interest cost incurred on debt in 2007, 2006 and 2005 was $455 million,</w:t>
      </w:r>
      <w:r w:rsidR="00EC32EC"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$489 million and $505 million respectively, of which $14 million, $13 million and</w:t>
      </w:r>
      <w:r w:rsidR="00EC32EC">
        <w:rPr>
          <w:rFonts w:ascii="Giovanni-Book" w:hAnsi="Giovanni-Book" w:cs="Giovanni-Book"/>
          <w:color w:val="000000"/>
          <w:sz w:val="32"/>
          <w:szCs w:val="32"/>
        </w:rPr>
        <w:t xml:space="preserve"> </w:t>
      </w:r>
      <w:r w:rsidRPr="000B54DD">
        <w:rPr>
          <w:rFonts w:ascii="Giovanni-Book" w:hAnsi="Giovanni-Book" w:cs="Giovanni-Book"/>
          <w:color w:val="000000"/>
          <w:sz w:val="32"/>
          <w:szCs w:val="32"/>
        </w:rPr>
        <w:t>$11 million was capitalized.</w:t>
      </w:r>
    </w:p>
    <w:p w:rsidR="000B54DD" w:rsidRPr="000B54DD" w:rsidRDefault="000B54DD" w:rsidP="000B54DD">
      <w:pPr>
        <w:rPr>
          <w:sz w:val="32"/>
          <w:szCs w:val="32"/>
        </w:rPr>
      </w:pPr>
    </w:p>
    <w:sectPr w:rsidR="000B54DD" w:rsidRPr="000B54DD" w:rsidSect="00AD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ovann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ovanni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20"/>
  <w:characterSpacingControl w:val="doNotCompress"/>
  <w:compat/>
  <w:rsids>
    <w:rsidRoot w:val="000B54DD"/>
    <w:rsid w:val="000B54DD"/>
    <w:rsid w:val="00543E0F"/>
    <w:rsid w:val="00AD0817"/>
    <w:rsid w:val="00CF6B5A"/>
    <w:rsid w:val="00EC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2011-07-03T04:06:00Z</dcterms:created>
  <dcterms:modified xsi:type="dcterms:W3CDTF">2011-07-03T04:20:00Z</dcterms:modified>
</cp:coreProperties>
</file>