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93" w:type="dxa"/>
        <w:tblLook w:val="04A0" w:firstRow="1" w:lastRow="0" w:firstColumn="1" w:lastColumn="0" w:noHBand="0" w:noVBand="1"/>
      </w:tblPr>
      <w:tblGrid>
        <w:gridCol w:w="879"/>
        <w:gridCol w:w="980"/>
        <w:gridCol w:w="980"/>
        <w:gridCol w:w="979"/>
        <w:gridCol w:w="970"/>
        <w:gridCol w:w="1089"/>
        <w:gridCol w:w="970"/>
        <w:gridCol w:w="1089"/>
        <w:gridCol w:w="708"/>
        <w:gridCol w:w="1351"/>
      </w:tblGrid>
      <w:tr w:rsidR="001C29F4" w:rsidRPr="001C29F4" w:rsidTr="001C29F4">
        <w:trPr>
          <w:trHeight w:val="270"/>
        </w:trPr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Financial Analysis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T.P. </w:t>
            </w:r>
            <w:proofErr w:type="spellStart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Jarmon</w:t>
            </w:r>
            <w:proofErr w:type="spellEnd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Company manufactures and sells as line of exclusive sportswear. The firm's sales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were $600,000 for the year just ended, and its total assets exceeded $400,000. The company was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started by Mr. </w:t>
            </w:r>
            <w:proofErr w:type="spellStart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Jarmon</w:t>
            </w:r>
            <w:proofErr w:type="spellEnd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just 10 years ago and has been profitable every year since its inception.</w:t>
            </w:r>
          </w:p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chief financial officer for the firm, Brent </w:t>
            </w:r>
            <w:proofErr w:type="spellStart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Vehlim</w:t>
            </w:r>
            <w:proofErr w:type="spellEnd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, has decided to seek a line of credit from the firm's bank totaling $80,000. In the past, the company has relied on its suppliers to finance a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large part of its need for inventory. However, in recent months tight money conditions have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led the firm's supplier to offer sizable cash discounts to speed up payments for purchases. Mr.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Vehlim</w:t>
            </w:r>
            <w:proofErr w:type="spellEnd"/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wants to use the line of credit to replace a large portion of the firm's payables during the summer, which is the firm's peak seasonable sales period.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</w:p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</w:p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firm's two most recent balance sheets were presented to the bank in support of its loan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request. In addition, the firm's income statement for the year just ended was provided. These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statements are found in the following tables:</w:t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</w:p>
        </w:tc>
      </w:tr>
      <w:tr w:rsidR="001C29F4" w:rsidRPr="001C29F4" w:rsidTr="001C29F4">
        <w:trPr>
          <w:trHeight w:val="270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1C29F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T.P. </w:t>
            </w:r>
            <w:proofErr w:type="spellStart"/>
            <w:r w:rsidRPr="001C29F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Jarmon</w:t>
            </w:r>
            <w:proofErr w:type="spellEnd"/>
            <w:r w:rsidRPr="001C29F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Company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</w:rPr>
              <w:t>Balance Sheet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for the Years Ended 12/31/2009 and 12/31/2010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$14,000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Marketable securities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Prepaid rent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$115,200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$138,300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Net plant and equipment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$401,200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$408,300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$48,000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$57,000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Notes payable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$69,000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$75,000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Long-term debt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Common stockholders' equity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172,200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183,300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 liabilities and equity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$401,200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$408,300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:rsid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:rsid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:rsid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:rsid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:rsid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:rsidR="001C29F4" w:rsidRP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1C29F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lastRenderedPageBreak/>
              <w:t xml:space="preserve">T.P. </w:t>
            </w:r>
            <w:proofErr w:type="spellStart"/>
            <w:r w:rsidRPr="001C29F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Jarmon</w:t>
            </w:r>
            <w:proofErr w:type="spellEnd"/>
            <w:r w:rsidRPr="001C29F4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Company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</w:rPr>
              <w:t>Income Statement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for the Year Ended 12/31/2010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Sales (all credit)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$600,000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Less: cost of goods sold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Gross Profit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Less: operating and interest expenses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General and administrative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$30,000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Interest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Earnings before taxes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$70,000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Less: taxes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27,100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Net income available to stockholders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$42,900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7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Less: cash dividends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31,800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C29F4" w:rsidRPr="001C29F4" w:rsidTr="001C29F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Change in retained earnings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C29F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$11,100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F4" w:rsidRPr="001C29F4" w:rsidRDefault="001C29F4" w:rsidP="001C29F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81624F" w:rsidRDefault="0081624F"/>
    <w:p w:rsidR="001C29F4" w:rsidRDefault="001C29F4" w:rsidP="001C29F4">
      <w:pPr>
        <w:pStyle w:val="ListParagraph"/>
        <w:numPr>
          <w:ilvl w:val="0"/>
          <w:numId w:val="2"/>
        </w:numPr>
      </w:pPr>
      <w:r>
        <w:t>Calculate the financial ratios for 2010 corresponding to the industry norms provided.</w:t>
      </w:r>
    </w:p>
    <w:p w:rsidR="001C29F4" w:rsidRDefault="001C29F4" w:rsidP="001C29F4">
      <w:pPr>
        <w:pStyle w:val="ListParagraph"/>
        <w:numPr>
          <w:ilvl w:val="0"/>
          <w:numId w:val="2"/>
        </w:numPr>
      </w:pPr>
      <w:r>
        <w:t>Which of the ratios reported in the industry norms do you feel should be most crucial in determining whether the bank should extend the line of credit?</w:t>
      </w:r>
    </w:p>
    <w:p w:rsidR="001C29F4" w:rsidRDefault="001C29F4" w:rsidP="001C29F4">
      <w:pPr>
        <w:pStyle w:val="ListParagraph"/>
        <w:numPr>
          <w:ilvl w:val="0"/>
          <w:numId w:val="2"/>
        </w:numPr>
      </w:pPr>
      <w:r>
        <w:t xml:space="preserve">Prepare </w:t>
      </w:r>
      <w:proofErr w:type="spellStart"/>
      <w:r>
        <w:t>Jarmon's</w:t>
      </w:r>
      <w:proofErr w:type="spellEnd"/>
      <w:r>
        <w:t xml:space="preserve"> statement of cash flows for the year ended December 31, 2010. Interpret</w:t>
      </w:r>
      <w:r>
        <w:t xml:space="preserve"> </w:t>
      </w:r>
      <w:r>
        <w:t>your findings.</w:t>
      </w:r>
    </w:p>
    <w:p w:rsidR="001C29F4" w:rsidRDefault="001C29F4" w:rsidP="001C29F4">
      <w:pPr>
        <w:pStyle w:val="ListParagraph"/>
        <w:numPr>
          <w:ilvl w:val="0"/>
          <w:numId w:val="2"/>
        </w:numPr>
      </w:pPr>
      <w:r>
        <w:t>Use the information provided by the financial ratios and the cash flow statement to decide if you would support making this loan.</w:t>
      </w:r>
      <w:r>
        <w:tab/>
      </w:r>
    </w:p>
    <w:p w:rsidR="001C29F4" w:rsidRDefault="001C29F4" w:rsidP="001C29F4"/>
    <w:p w:rsidR="001C29F4" w:rsidRDefault="001C29F4" w:rsidP="001C29F4"/>
    <w:p w:rsidR="001C29F4" w:rsidRDefault="001C29F4" w:rsidP="001C29F4"/>
    <w:p w:rsidR="001C29F4" w:rsidRDefault="001C29F4" w:rsidP="001C29F4"/>
    <w:p w:rsidR="001C29F4" w:rsidRDefault="001C29F4" w:rsidP="001C29F4">
      <w:r>
        <w:tab/>
      </w:r>
      <w:r>
        <w:tab/>
      </w:r>
    </w:p>
    <w:sectPr w:rsidR="001C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703"/>
    <w:multiLevelType w:val="hybridMultilevel"/>
    <w:tmpl w:val="D0528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4FEF"/>
    <w:multiLevelType w:val="hybridMultilevel"/>
    <w:tmpl w:val="83F84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F4"/>
    <w:rsid w:val="001C29F4"/>
    <w:rsid w:val="0081624F"/>
    <w:rsid w:val="00A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644C"/>
    <w:pPr>
      <w:spacing w:after="0" w:line="240" w:lineRule="auto"/>
    </w:pPr>
    <w:rPr>
      <w:rFonts w:ascii="Microsoft Sans Serif" w:eastAsiaTheme="majorEastAsia" w:hAnsi="Microsoft Sans Serif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6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Sans Serif" w:eastAsiaTheme="majorEastAsia" w:hAnsi="Microsoft Sans Serif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644C"/>
    <w:pPr>
      <w:spacing w:after="0" w:line="240" w:lineRule="auto"/>
    </w:pPr>
    <w:rPr>
      <w:rFonts w:ascii="Microsoft Sans Serif" w:eastAsiaTheme="majorEastAsia" w:hAnsi="Microsoft Sans Serif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6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Sans Serif" w:eastAsiaTheme="majorEastAsia" w:hAnsi="Microsoft Sans Serif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2011-07-02T02:09:00Z</dcterms:created>
  <dcterms:modified xsi:type="dcterms:W3CDTF">2011-07-02T02:15:00Z</dcterms:modified>
</cp:coreProperties>
</file>