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F1" w:rsidRDefault="00144AF1" w:rsidP="00144AF1">
      <w:r>
        <w:t>P18-2</w:t>
      </w:r>
    </w:p>
    <w:p w:rsidR="00144AF1" w:rsidRDefault="00144AF1" w:rsidP="00144AF1"/>
    <w:p w:rsidR="00144AF1" w:rsidRDefault="00144AF1" w:rsidP="00144AF1">
      <w:pPr>
        <w:autoSpaceDE w:val="0"/>
        <w:autoSpaceDN w:val="0"/>
        <w:adjustRightInd w:val="0"/>
      </w:pPr>
      <w:r>
        <w:rPr>
          <w:rFonts w:ascii="Sabon-Bold" w:hAnsi="Sabon-Bold" w:cs="Sabon-Bold"/>
          <w:b/>
          <w:bCs/>
          <w:sz w:val="19"/>
          <w:szCs w:val="19"/>
          <w:lang w:val="en-CA" w:eastAsia="en-CA"/>
        </w:rPr>
        <w:t xml:space="preserve">Translation of financial statements </w:t>
      </w:r>
      <w:r>
        <w:rPr>
          <w:rFonts w:ascii="Sabon-Roman" w:hAnsi="Sabon-Roman" w:cs="Sabon-Roman"/>
          <w:sz w:val="19"/>
          <w:szCs w:val="19"/>
          <w:lang w:val="en-CA" w:eastAsia="en-CA"/>
        </w:rPr>
        <w:t xml:space="preserve">A U.S.-based MNC has a subsidiary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Sabon-Roman" w:hAnsi="Sabon-Roman" w:cs="Sabon-Roman"/>
              <w:sz w:val="19"/>
              <w:szCs w:val="19"/>
              <w:lang w:val="en-CA" w:eastAsia="en-CA"/>
            </w:rPr>
            <w:t>France</w:t>
          </w:r>
        </w:smartTag>
      </w:smartTag>
      <w:r>
        <w:rPr>
          <w:rFonts w:ascii="Sabon-Roman" w:hAnsi="Sabon-Roman" w:cs="Sabon-Roman"/>
          <w:sz w:val="19"/>
          <w:szCs w:val="19"/>
          <w:lang w:val="en-CA" w:eastAsia="en-CA"/>
        </w:rPr>
        <w:t xml:space="preserve"> (local currency, euro, </w:t>
      </w:r>
      <w:r>
        <w:rPr>
          <w:rFonts w:ascii="WWDOC13" w:hAnsi="WWDOC13" w:cs="WWDOC13"/>
          <w:sz w:val="19"/>
          <w:szCs w:val="19"/>
          <w:lang w:val="en-CA" w:eastAsia="en-CA"/>
        </w:rPr>
        <w:t>;</w:t>
      </w:r>
      <w:r>
        <w:rPr>
          <w:rFonts w:ascii="Sabon-Roman" w:hAnsi="Sabon-Roman" w:cs="Sabon-Roman"/>
          <w:sz w:val="19"/>
          <w:szCs w:val="19"/>
          <w:lang w:val="en-CA" w:eastAsia="en-CA"/>
        </w:rPr>
        <w:t>). The balance sheet and income statement of the subsidiary follow. On 12/31/09, the exchange rate is US$1.20/</w:t>
      </w:r>
      <w:proofErr w:type="gramStart"/>
      <w:r>
        <w:rPr>
          <w:rFonts w:ascii="WWDOC13" w:hAnsi="WWDOC13" w:cs="WWDOC13"/>
          <w:sz w:val="19"/>
          <w:szCs w:val="19"/>
          <w:lang w:val="en-CA" w:eastAsia="en-CA"/>
        </w:rPr>
        <w:t>;</w:t>
      </w:r>
      <w:r>
        <w:rPr>
          <w:rFonts w:ascii="Sabon-Roman" w:hAnsi="Sabon-Roman" w:cs="Sabon-Roman"/>
          <w:sz w:val="19"/>
          <w:szCs w:val="19"/>
          <w:lang w:val="en-CA" w:eastAsia="en-CA"/>
        </w:rPr>
        <w:t>.</w:t>
      </w:r>
      <w:proofErr w:type="gramEnd"/>
      <w:r>
        <w:rPr>
          <w:rFonts w:ascii="Sabon-Roman" w:hAnsi="Sabon-Roman" w:cs="Sabon-Roman"/>
          <w:sz w:val="19"/>
          <w:szCs w:val="19"/>
          <w:lang w:val="en-CA" w:eastAsia="en-CA"/>
        </w:rPr>
        <w:t xml:space="preserve"> Assume that the local (euro) figures for the statements remain the same on 12/31/10. Calculate the U.S. dollar translated figures for the two ending time periods, assuming that between 12/31/09 and 12/31/10 the euro has appreciated against the U.S. dollar by 6%.</w:t>
      </w:r>
    </w:p>
    <w:p w:rsidR="00144AF1" w:rsidRDefault="00144AF1" w:rsidP="00144AF1"/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888"/>
        <w:gridCol w:w="1440"/>
        <w:gridCol w:w="1440"/>
        <w:gridCol w:w="360"/>
        <w:gridCol w:w="1080"/>
      </w:tblGrid>
      <w:tr w:rsidR="00144AF1" w:rsidTr="00DE277C">
        <w:tc>
          <w:tcPr>
            <w:tcW w:w="8208" w:type="dxa"/>
            <w:gridSpan w:val="5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Translation of Income Statement</w:t>
            </w:r>
          </w:p>
        </w:tc>
      </w:tr>
      <w:tr w:rsidR="00144AF1" w:rsidTr="00DE277C">
        <w:tc>
          <w:tcPr>
            <w:tcW w:w="3888" w:type="dxa"/>
            <w:shd w:val="clear" w:color="auto" w:fill="C0C0C0"/>
          </w:tcPr>
          <w:p w:rsidR="00144AF1" w:rsidRDefault="00144AF1" w:rsidP="00DE277C">
            <w:pPr>
              <w:spacing w:before="60" w:after="60"/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12/31/09</w:t>
            </w:r>
          </w:p>
        </w:tc>
        <w:tc>
          <w:tcPr>
            <w:tcW w:w="360" w:type="dxa"/>
            <w:shd w:val="clear" w:color="auto" w:fill="C0C0C0"/>
          </w:tcPr>
          <w:p w:rsidR="00144AF1" w:rsidRPr="00DD4E7C" w:rsidRDefault="00144AF1" w:rsidP="00DE277C">
            <w:pPr>
              <w:spacing w:before="60" w:after="60"/>
              <w:jc w:val="center"/>
              <w:rPr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144AF1" w:rsidRPr="004E7789" w:rsidRDefault="00144AF1" w:rsidP="00DE277C">
            <w:pPr>
              <w:spacing w:before="60" w:after="60"/>
              <w:jc w:val="center"/>
            </w:pPr>
            <w:r w:rsidRPr="004E7789">
              <w:t>12/31/10</w:t>
            </w:r>
          </w:p>
        </w:tc>
      </w:tr>
      <w:tr w:rsidR="00144AF1" w:rsidTr="00DE277C">
        <w:tc>
          <w:tcPr>
            <w:tcW w:w="3888" w:type="dxa"/>
            <w:shd w:val="clear" w:color="auto" w:fill="C0C0C0"/>
          </w:tcPr>
          <w:p w:rsidR="00144AF1" w:rsidRDefault="00144AF1" w:rsidP="00DE277C">
            <w:pPr>
              <w:spacing w:before="60" w:after="60"/>
            </w:pPr>
          </w:p>
        </w:tc>
        <w:tc>
          <w:tcPr>
            <w:tcW w:w="1440" w:type="dxa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Euro</w:t>
            </w:r>
          </w:p>
        </w:tc>
        <w:tc>
          <w:tcPr>
            <w:tcW w:w="1440" w:type="dxa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US$</w:t>
            </w:r>
          </w:p>
        </w:tc>
        <w:tc>
          <w:tcPr>
            <w:tcW w:w="360" w:type="dxa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</w:p>
        </w:tc>
        <w:tc>
          <w:tcPr>
            <w:tcW w:w="1080" w:type="dxa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US$</w:t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Sales</w:t>
            </w:r>
          </w:p>
        </w:tc>
        <w:tc>
          <w:tcPr>
            <w:tcW w:w="1440" w:type="dxa"/>
            <w:shd w:val="clear" w:color="auto" w:fill="E6E6E6"/>
          </w:tcPr>
          <w:p w:rsidR="00144AF1" w:rsidRPr="005B58AD" w:rsidRDefault="00144AF1" w:rsidP="00DE277C">
            <w:pPr>
              <w:tabs>
                <w:tab w:val="decimal" w:pos="792"/>
              </w:tabs>
              <w:jc w:val="center"/>
            </w:pPr>
            <w:r w:rsidRPr="005B58AD">
              <w:t>30,000.00</w:t>
            </w:r>
          </w:p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Cost of goods sold</w:t>
            </w:r>
          </w:p>
        </w:tc>
        <w:tc>
          <w:tcPr>
            <w:tcW w:w="1440" w:type="dxa"/>
            <w:shd w:val="clear" w:color="auto" w:fill="E6E6E6"/>
          </w:tcPr>
          <w:p w:rsidR="00144AF1" w:rsidRPr="00DD4E7C" w:rsidRDefault="00144AF1" w:rsidP="00DE277C">
            <w:pPr>
              <w:tabs>
                <w:tab w:val="decimal" w:pos="792"/>
              </w:tabs>
              <w:jc w:val="center"/>
              <w:rPr>
                <w:u w:val="single"/>
              </w:rPr>
            </w:pPr>
            <w:r w:rsidRPr="00DD4E7C">
              <w:rPr>
                <w:u w:val="single"/>
              </w:rPr>
              <w:t>29,750.00</w:t>
            </w:r>
          </w:p>
        </w:tc>
        <w:tc>
          <w:tcPr>
            <w:tcW w:w="1440" w:type="dxa"/>
            <w:shd w:val="clear" w:color="auto" w:fill="E6E6E6"/>
          </w:tcPr>
          <w:p w:rsidR="00144AF1" w:rsidRPr="003F029E" w:rsidRDefault="00144AF1" w:rsidP="00DE277C">
            <w:pPr>
              <w:tabs>
                <w:tab w:val="left" w:pos="1224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tabs>
                <w:tab w:val="left" w:pos="1152"/>
              </w:tabs>
              <w:jc w:val="center"/>
              <w:rPr>
                <w:u w:val="single"/>
              </w:rPr>
            </w:pPr>
          </w:p>
        </w:tc>
        <w:tc>
          <w:tcPr>
            <w:tcW w:w="1080" w:type="dxa"/>
            <w:shd w:val="clear" w:color="auto" w:fill="E6E6E6"/>
          </w:tcPr>
          <w:p w:rsidR="00144AF1" w:rsidRPr="003F029E" w:rsidRDefault="00144AF1" w:rsidP="00DE277C">
            <w:pPr>
              <w:tabs>
                <w:tab w:val="left" w:pos="864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Operating profits</w:t>
            </w:r>
          </w:p>
        </w:tc>
        <w:tc>
          <w:tcPr>
            <w:tcW w:w="1440" w:type="dxa"/>
            <w:shd w:val="clear" w:color="auto" w:fill="E6E6E6"/>
          </w:tcPr>
          <w:p w:rsidR="00144AF1" w:rsidRPr="002A6582" w:rsidRDefault="00144AF1" w:rsidP="00DE277C">
            <w:pPr>
              <w:tabs>
                <w:tab w:val="left" w:pos="189"/>
                <w:tab w:val="decimal" w:pos="855"/>
                <w:tab w:val="left" w:pos="1152"/>
              </w:tabs>
              <w:rPr>
                <w:u w:val="double"/>
              </w:rPr>
            </w:pPr>
            <w:r w:rsidRPr="002A6582">
              <w:tab/>
            </w:r>
            <w:r>
              <w:rPr>
                <w:u w:val="double"/>
              </w:rPr>
              <w:tab/>
            </w:r>
            <w:r w:rsidRPr="002A6582">
              <w:rPr>
                <w:u w:val="double"/>
              </w:rPr>
              <w:t>250.00</w:t>
            </w:r>
          </w:p>
        </w:tc>
        <w:tc>
          <w:tcPr>
            <w:tcW w:w="1440" w:type="dxa"/>
            <w:shd w:val="clear" w:color="auto" w:fill="E6E6E6"/>
          </w:tcPr>
          <w:p w:rsidR="00144AF1" w:rsidRPr="004E7789" w:rsidRDefault="00144AF1" w:rsidP="00DE277C">
            <w:pPr>
              <w:tabs>
                <w:tab w:val="left" w:pos="1224"/>
              </w:tabs>
              <w:jc w:val="center"/>
              <w:rPr>
                <w:u w:val="double"/>
              </w:rPr>
            </w:pPr>
            <w:r w:rsidRPr="004E7789">
              <w:rPr>
                <w:u w:val="double"/>
              </w:rPr>
              <w:tab/>
            </w: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Pr="004E7789" w:rsidRDefault="00144AF1" w:rsidP="00DE277C">
            <w:pPr>
              <w:tabs>
                <w:tab w:val="left" w:pos="864"/>
              </w:tabs>
              <w:jc w:val="center"/>
              <w:rPr>
                <w:u w:val="double"/>
              </w:rPr>
            </w:pPr>
            <w:r w:rsidRPr="004E7789">
              <w:rPr>
                <w:u w:val="double"/>
              </w:rPr>
              <w:tab/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/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tabs>
                <w:tab w:val="decimal" w:pos="882"/>
              </w:tabs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</w:tr>
    </w:tbl>
    <w:p w:rsidR="00144AF1" w:rsidRDefault="00144AF1" w:rsidP="00144AF1"/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888"/>
        <w:gridCol w:w="1440"/>
        <w:gridCol w:w="1440"/>
        <w:gridCol w:w="360"/>
        <w:gridCol w:w="1080"/>
      </w:tblGrid>
      <w:tr w:rsidR="00144AF1" w:rsidTr="00DE277C">
        <w:tc>
          <w:tcPr>
            <w:tcW w:w="8208" w:type="dxa"/>
            <w:gridSpan w:val="5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Translation of Balance Sheet</w:t>
            </w:r>
          </w:p>
        </w:tc>
      </w:tr>
      <w:tr w:rsidR="00144AF1" w:rsidTr="00DE277C">
        <w:tc>
          <w:tcPr>
            <w:tcW w:w="3888" w:type="dxa"/>
            <w:shd w:val="clear" w:color="auto" w:fill="C0C0C0"/>
          </w:tcPr>
          <w:p w:rsidR="00144AF1" w:rsidRDefault="00144AF1" w:rsidP="00DE277C">
            <w:pPr>
              <w:spacing w:before="60" w:after="60"/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12/31/09</w:t>
            </w:r>
          </w:p>
        </w:tc>
        <w:tc>
          <w:tcPr>
            <w:tcW w:w="360" w:type="dxa"/>
            <w:shd w:val="clear" w:color="auto" w:fill="C0C0C0"/>
          </w:tcPr>
          <w:p w:rsidR="00144AF1" w:rsidRPr="00DD4E7C" w:rsidRDefault="00144AF1" w:rsidP="00DE277C">
            <w:pPr>
              <w:spacing w:before="60" w:after="60"/>
              <w:jc w:val="center"/>
              <w:rPr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144AF1" w:rsidRPr="004E7789" w:rsidRDefault="00144AF1" w:rsidP="00DE277C">
            <w:pPr>
              <w:spacing w:before="60" w:after="60"/>
              <w:jc w:val="center"/>
            </w:pPr>
            <w:r w:rsidRPr="004E7789">
              <w:t>12/31/10</w:t>
            </w:r>
          </w:p>
        </w:tc>
      </w:tr>
      <w:tr w:rsidR="00144AF1" w:rsidTr="00DE277C">
        <w:tc>
          <w:tcPr>
            <w:tcW w:w="3888" w:type="dxa"/>
            <w:shd w:val="clear" w:color="auto" w:fill="C0C0C0"/>
          </w:tcPr>
          <w:p w:rsidR="00144AF1" w:rsidRDefault="00144AF1" w:rsidP="00DE277C">
            <w:pPr>
              <w:spacing w:before="60" w:after="60"/>
            </w:pPr>
            <w:r>
              <w:t>Assets</w:t>
            </w:r>
          </w:p>
        </w:tc>
        <w:tc>
          <w:tcPr>
            <w:tcW w:w="1440" w:type="dxa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Euro</w:t>
            </w:r>
          </w:p>
        </w:tc>
        <w:tc>
          <w:tcPr>
            <w:tcW w:w="1440" w:type="dxa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US$</w:t>
            </w:r>
          </w:p>
        </w:tc>
        <w:tc>
          <w:tcPr>
            <w:tcW w:w="360" w:type="dxa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</w:p>
        </w:tc>
        <w:tc>
          <w:tcPr>
            <w:tcW w:w="1080" w:type="dxa"/>
            <w:shd w:val="clear" w:color="auto" w:fill="C0C0C0"/>
          </w:tcPr>
          <w:p w:rsidR="00144AF1" w:rsidRDefault="00144AF1" w:rsidP="00DE277C">
            <w:pPr>
              <w:spacing w:before="60" w:after="60"/>
              <w:jc w:val="center"/>
            </w:pPr>
            <w:r>
              <w:t>US$</w:t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Cash</w:t>
            </w:r>
          </w:p>
        </w:tc>
        <w:tc>
          <w:tcPr>
            <w:tcW w:w="1440" w:type="dxa"/>
            <w:shd w:val="clear" w:color="auto" w:fill="E6E6E6"/>
          </w:tcPr>
          <w:p w:rsidR="00144AF1" w:rsidRPr="005B58AD" w:rsidRDefault="00144AF1" w:rsidP="00DE277C">
            <w:pPr>
              <w:tabs>
                <w:tab w:val="decimal" w:pos="792"/>
              </w:tabs>
              <w:jc w:val="center"/>
            </w:pPr>
            <w:r>
              <w:t>40.00</w:t>
            </w:r>
          </w:p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Inventory</w:t>
            </w:r>
          </w:p>
        </w:tc>
        <w:tc>
          <w:tcPr>
            <w:tcW w:w="1440" w:type="dxa"/>
            <w:shd w:val="clear" w:color="auto" w:fill="E6E6E6"/>
          </w:tcPr>
          <w:p w:rsidR="00144AF1" w:rsidRPr="005B58AD" w:rsidRDefault="00144AF1" w:rsidP="00DE277C">
            <w:pPr>
              <w:tabs>
                <w:tab w:val="decimal" w:pos="792"/>
              </w:tabs>
              <w:jc w:val="center"/>
            </w:pPr>
            <w:r w:rsidRPr="005B58AD">
              <w:t>300.00</w:t>
            </w:r>
          </w:p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tabs>
                <w:tab w:val="left" w:pos="1224"/>
              </w:tabs>
              <w:jc w:val="center"/>
              <w:rPr>
                <w:u w:val="single"/>
              </w:rPr>
            </w:pP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tabs>
                <w:tab w:val="left" w:pos="1152"/>
              </w:tabs>
              <w:jc w:val="center"/>
              <w:rPr>
                <w:u w:val="single"/>
              </w:rPr>
            </w:pPr>
          </w:p>
        </w:tc>
        <w:tc>
          <w:tcPr>
            <w:tcW w:w="1080" w:type="dxa"/>
            <w:shd w:val="clear" w:color="auto" w:fill="E6E6E6"/>
          </w:tcPr>
          <w:p w:rsidR="00144AF1" w:rsidRDefault="00144AF1" w:rsidP="00DE277C">
            <w:pPr>
              <w:tabs>
                <w:tab w:val="left" w:pos="864"/>
              </w:tabs>
              <w:jc w:val="center"/>
              <w:rPr>
                <w:u w:val="single"/>
              </w:rPr>
            </w:pP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Plant and equipment (net)</w:t>
            </w:r>
          </w:p>
        </w:tc>
        <w:tc>
          <w:tcPr>
            <w:tcW w:w="1440" w:type="dxa"/>
            <w:shd w:val="clear" w:color="auto" w:fill="E6E6E6"/>
          </w:tcPr>
          <w:p w:rsidR="00144AF1" w:rsidRPr="00DD4E7C" w:rsidRDefault="00144AF1" w:rsidP="00DE277C">
            <w:pPr>
              <w:tabs>
                <w:tab w:val="decimal" w:pos="792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160.00</w:t>
            </w:r>
          </w:p>
        </w:tc>
        <w:tc>
          <w:tcPr>
            <w:tcW w:w="1440" w:type="dxa"/>
            <w:shd w:val="clear" w:color="auto" w:fill="E6E6E6"/>
          </w:tcPr>
          <w:p w:rsidR="00144AF1" w:rsidRPr="003F029E" w:rsidRDefault="00144AF1" w:rsidP="00DE277C">
            <w:pPr>
              <w:tabs>
                <w:tab w:val="left" w:pos="1224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tabs>
                <w:tab w:val="left" w:pos="1152"/>
              </w:tabs>
              <w:jc w:val="center"/>
              <w:rPr>
                <w:u w:val="single"/>
              </w:rPr>
            </w:pPr>
          </w:p>
        </w:tc>
        <w:tc>
          <w:tcPr>
            <w:tcW w:w="1080" w:type="dxa"/>
            <w:shd w:val="clear" w:color="auto" w:fill="E6E6E6"/>
          </w:tcPr>
          <w:p w:rsidR="00144AF1" w:rsidRPr="003F029E" w:rsidRDefault="00144AF1" w:rsidP="00DE277C">
            <w:pPr>
              <w:tabs>
                <w:tab w:val="left" w:pos="864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Total</w:t>
            </w:r>
          </w:p>
        </w:tc>
        <w:tc>
          <w:tcPr>
            <w:tcW w:w="1440" w:type="dxa"/>
            <w:shd w:val="clear" w:color="auto" w:fill="E6E6E6"/>
          </w:tcPr>
          <w:p w:rsidR="00144AF1" w:rsidRPr="002A6582" w:rsidRDefault="00144AF1" w:rsidP="00DE277C">
            <w:pPr>
              <w:tabs>
                <w:tab w:val="left" w:pos="189"/>
                <w:tab w:val="decimal" w:pos="855"/>
                <w:tab w:val="left" w:pos="1152"/>
              </w:tabs>
              <w:rPr>
                <w:u w:val="double"/>
              </w:rPr>
            </w:pPr>
            <w:r w:rsidRPr="002A6582">
              <w:tab/>
            </w:r>
            <w:r>
              <w:rPr>
                <w:u w:val="double"/>
              </w:rPr>
              <w:tab/>
              <w:t>50</w:t>
            </w:r>
            <w:r w:rsidRPr="002A6582">
              <w:rPr>
                <w:u w:val="double"/>
              </w:rPr>
              <w:t>0.00</w:t>
            </w:r>
          </w:p>
        </w:tc>
        <w:tc>
          <w:tcPr>
            <w:tcW w:w="1440" w:type="dxa"/>
            <w:shd w:val="clear" w:color="auto" w:fill="E6E6E6"/>
          </w:tcPr>
          <w:p w:rsidR="00144AF1" w:rsidRPr="004E7789" w:rsidRDefault="00144AF1" w:rsidP="00DE277C">
            <w:pPr>
              <w:tabs>
                <w:tab w:val="left" w:pos="1224"/>
              </w:tabs>
              <w:jc w:val="center"/>
              <w:rPr>
                <w:u w:val="double"/>
              </w:rPr>
            </w:pPr>
            <w:r w:rsidRPr="004E7789">
              <w:rPr>
                <w:u w:val="double"/>
              </w:rPr>
              <w:tab/>
            </w: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Pr="004E7789" w:rsidRDefault="00144AF1" w:rsidP="00DE277C">
            <w:pPr>
              <w:tabs>
                <w:tab w:val="left" w:pos="864"/>
              </w:tabs>
              <w:jc w:val="center"/>
              <w:rPr>
                <w:u w:val="double"/>
              </w:rPr>
            </w:pPr>
            <w:r w:rsidRPr="004E7789">
              <w:rPr>
                <w:u w:val="double"/>
              </w:rPr>
              <w:tab/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/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tabs>
                <w:tab w:val="decimal" w:pos="882"/>
              </w:tabs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</w:tr>
      <w:tr w:rsidR="00144AF1" w:rsidTr="00DE277C">
        <w:tc>
          <w:tcPr>
            <w:tcW w:w="8208" w:type="dxa"/>
            <w:gridSpan w:val="5"/>
            <w:shd w:val="clear" w:color="auto" w:fill="C0C0C0"/>
          </w:tcPr>
          <w:p w:rsidR="00144AF1" w:rsidRDefault="00144AF1" w:rsidP="00DE277C">
            <w:pPr>
              <w:spacing w:before="60" w:after="60"/>
            </w:pPr>
            <w:r>
              <w:t>Liabilities and Stockholder’s Equity</w:t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Debt</w:t>
            </w:r>
          </w:p>
        </w:tc>
        <w:tc>
          <w:tcPr>
            <w:tcW w:w="1440" w:type="dxa"/>
            <w:shd w:val="clear" w:color="auto" w:fill="E6E6E6"/>
          </w:tcPr>
          <w:p w:rsidR="00144AF1" w:rsidRPr="005B58AD" w:rsidRDefault="00144AF1" w:rsidP="00DE277C">
            <w:pPr>
              <w:tabs>
                <w:tab w:val="decimal" w:pos="792"/>
              </w:tabs>
              <w:jc w:val="center"/>
            </w:pPr>
            <w:r>
              <w:t>240.00</w:t>
            </w:r>
          </w:p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Paid-in capital</w:t>
            </w:r>
          </w:p>
        </w:tc>
        <w:tc>
          <w:tcPr>
            <w:tcW w:w="1440" w:type="dxa"/>
            <w:shd w:val="clear" w:color="auto" w:fill="E6E6E6"/>
          </w:tcPr>
          <w:p w:rsidR="00144AF1" w:rsidRPr="005B58AD" w:rsidRDefault="00144AF1" w:rsidP="00DE277C">
            <w:pPr>
              <w:tabs>
                <w:tab w:val="decimal" w:pos="792"/>
              </w:tabs>
              <w:jc w:val="center"/>
            </w:pPr>
            <w:r>
              <w:t>200.00</w:t>
            </w:r>
          </w:p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tabs>
                <w:tab w:val="left" w:pos="1224"/>
              </w:tabs>
              <w:jc w:val="center"/>
              <w:rPr>
                <w:u w:val="single"/>
              </w:rPr>
            </w:pP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tabs>
                <w:tab w:val="left" w:pos="1152"/>
              </w:tabs>
              <w:jc w:val="center"/>
              <w:rPr>
                <w:u w:val="single"/>
              </w:rPr>
            </w:pPr>
          </w:p>
        </w:tc>
        <w:tc>
          <w:tcPr>
            <w:tcW w:w="1080" w:type="dxa"/>
            <w:shd w:val="clear" w:color="auto" w:fill="E6E6E6"/>
          </w:tcPr>
          <w:p w:rsidR="00144AF1" w:rsidRDefault="00144AF1" w:rsidP="00DE277C">
            <w:pPr>
              <w:tabs>
                <w:tab w:val="left" w:pos="864"/>
              </w:tabs>
              <w:jc w:val="center"/>
              <w:rPr>
                <w:u w:val="single"/>
              </w:rPr>
            </w:pP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Retained earnings</w:t>
            </w:r>
          </w:p>
        </w:tc>
        <w:tc>
          <w:tcPr>
            <w:tcW w:w="1440" w:type="dxa"/>
            <w:shd w:val="clear" w:color="auto" w:fill="E6E6E6"/>
          </w:tcPr>
          <w:p w:rsidR="00144AF1" w:rsidRPr="00DD4E7C" w:rsidRDefault="00144AF1" w:rsidP="00DE277C">
            <w:pPr>
              <w:tabs>
                <w:tab w:val="left" w:pos="495"/>
                <w:tab w:val="decimal" w:pos="792"/>
              </w:tabs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ab/>
              <w:t>60.00</w:t>
            </w:r>
          </w:p>
        </w:tc>
        <w:tc>
          <w:tcPr>
            <w:tcW w:w="1440" w:type="dxa"/>
            <w:shd w:val="clear" w:color="auto" w:fill="E6E6E6"/>
          </w:tcPr>
          <w:p w:rsidR="00144AF1" w:rsidRPr="003F029E" w:rsidRDefault="00144AF1" w:rsidP="00DE277C">
            <w:pPr>
              <w:tabs>
                <w:tab w:val="left" w:pos="1224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tabs>
                <w:tab w:val="left" w:pos="1152"/>
              </w:tabs>
              <w:jc w:val="center"/>
              <w:rPr>
                <w:u w:val="single"/>
              </w:rPr>
            </w:pPr>
          </w:p>
        </w:tc>
        <w:tc>
          <w:tcPr>
            <w:tcW w:w="1080" w:type="dxa"/>
            <w:shd w:val="clear" w:color="auto" w:fill="E6E6E6"/>
          </w:tcPr>
          <w:p w:rsidR="00144AF1" w:rsidRPr="003F029E" w:rsidRDefault="00144AF1" w:rsidP="00DE277C">
            <w:pPr>
              <w:tabs>
                <w:tab w:val="left" w:pos="864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>
            <w:r>
              <w:t>Total</w:t>
            </w:r>
          </w:p>
        </w:tc>
        <w:tc>
          <w:tcPr>
            <w:tcW w:w="1440" w:type="dxa"/>
            <w:shd w:val="clear" w:color="auto" w:fill="E6E6E6"/>
          </w:tcPr>
          <w:p w:rsidR="00144AF1" w:rsidRPr="002A6582" w:rsidRDefault="00144AF1" w:rsidP="00DE277C">
            <w:pPr>
              <w:tabs>
                <w:tab w:val="left" w:pos="189"/>
                <w:tab w:val="decimal" w:pos="855"/>
                <w:tab w:val="left" w:pos="1152"/>
              </w:tabs>
              <w:rPr>
                <w:u w:val="double"/>
              </w:rPr>
            </w:pPr>
            <w:r w:rsidRPr="002A6582">
              <w:tab/>
            </w:r>
            <w:r>
              <w:rPr>
                <w:u w:val="double"/>
              </w:rPr>
              <w:tab/>
              <w:t>50</w:t>
            </w:r>
            <w:r w:rsidRPr="002A6582">
              <w:rPr>
                <w:u w:val="double"/>
              </w:rPr>
              <w:t>0.00</w:t>
            </w:r>
          </w:p>
        </w:tc>
        <w:tc>
          <w:tcPr>
            <w:tcW w:w="1440" w:type="dxa"/>
            <w:shd w:val="clear" w:color="auto" w:fill="E6E6E6"/>
          </w:tcPr>
          <w:p w:rsidR="00144AF1" w:rsidRPr="004E7789" w:rsidRDefault="00144AF1" w:rsidP="00DE277C">
            <w:pPr>
              <w:tabs>
                <w:tab w:val="left" w:pos="1224"/>
              </w:tabs>
              <w:jc w:val="center"/>
              <w:rPr>
                <w:u w:val="double"/>
              </w:rPr>
            </w:pPr>
            <w:r w:rsidRPr="004E7789">
              <w:rPr>
                <w:u w:val="double"/>
              </w:rPr>
              <w:tab/>
            </w: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Pr="004E7789" w:rsidRDefault="00144AF1" w:rsidP="00DE277C">
            <w:pPr>
              <w:tabs>
                <w:tab w:val="left" w:pos="864"/>
              </w:tabs>
              <w:jc w:val="center"/>
              <w:rPr>
                <w:u w:val="double"/>
              </w:rPr>
            </w:pPr>
            <w:r w:rsidRPr="004E7789">
              <w:rPr>
                <w:u w:val="double"/>
              </w:rPr>
              <w:tab/>
            </w:r>
          </w:p>
        </w:tc>
      </w:tr>
      <w:tr w:rsidR="00144AF1" w:rsidTr="00DE277C">
        <w:tc>
          <w:tcPr>
            <w:tcW w:w="3888" w:type="dxa"/>
            <w:shd w:val="clear" w:color="auto" w:fill="E6E6E6"/>
          </w:tcPr>
          <w:p w:rsidR="00144AF1" w:rsidRDefault="00144AF1" w:rsidP="00DE277C"/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tabs>
                <w:tab w:val="decimal" w:pos="882"/>
              </w:tabs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36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  <w:tc>
          <w:tcPr>
            <w:tcW w:w="1080" w:type="dxa"/>
            <w:shd w:val="clear" w:color="auto" w:fill="E6E6E6"/>
          </w:tcPr>
          <w:p w:rsidR="00144AF1" w:rsidRDefault="00144AF1" w:rsidP="00DE277C">
            <w:pPr>
              <w:jc w:val="center"/>
            </w:pPr>
          </w:p>
        </w:tc>
      </w:tr>
    </w:tbl>
    <w:p w:rsidR="00C47328" w:rsidRPr="00144AF1" w:rsidRDefault="00C47328"/>
    <w:sectPr w:rsidR="00C47328" w:rsidRPr="00144AF1" w:rsidSect="00C4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b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DOC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AF1"/>
    <w:rsid w:val="00144AF1"/>
    <w:rsid w:val="00212F81"/>
    <w:rsid w:val="004222C2"/>
    <w:rsid w:val="00C4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;</dc:creator>
  <cp:keywords/>
  <dc:description/>
  <cp:lastModifiedBy>;</cp:lastModifiedBy>
  <cp:revision>1</cp:revision>
  <dcterms:created xsi:type="dcterms:W3CDTF">2011-06-08T02:04:00Z</dcterms:created>
  <dcterms:modified xsi:type="dcterms:W3CDTF">2011-06-08T02:05:00Z</dcterms:modified>
</cp:coreProperties>
</file>