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EF" w:rsidRPr="008B7BEF" w:rsidRDefault="008B7BEF" w:rsidP="008B7BEF">
      <w:pPr>
        <w:autoSpaceDE w:val="0"/>
        <w:autoSpaceDN w:val="0"/>
        <w:adjustRightInd w:val="0"/>
        <w:spacing w:after="0"/>
        <w:rPr>
          <w:rFonts w:ascii="AdvTT086b3496" w:hAnsi="AdvTT086b3496" w:cs="AdvTT086b3496"/>
          <w:b/>
          <w:sz w:val="24"/>
          <w:szCs w:val="24"/>
        </w:rPr>
      </w:pPr>
      <w:r w:rsidRPr="008B7BEF">
        <w:rPr>
          <w:rFonts w:ascii="AdvTT086b3496" w:hAnsi="AdvTT086b3496" w:cs="AdvTT086b3496"/>
          <w:b/>
          <w:sz w:val="24"/>
          <w:szCs w:val="24"/>
        </w:rPr>
        <w:t>GIFT TAX FORM 709</w:t>
      </w:r>
    </w:p>
    <w:p w:rsidR="008B7BEF" w:rsidRPr="008B7BEF" w:rsidRDefault="008B7BEF" w:rsidP="008B7BEF">
      <w:pPr>
        <w:autoSpaceDE w:val="0"/>
        <w:autoSpaceDN w:val="0"/>
        <w:adjustRightInd w:val="0"/>
        <w:spacing w:after="0"/>
        <w:rPr>
          <w:rFonts w:ascii="AdvTT086b3496" w:hAnsi="AdvTT086b3496" w:cs="AdvTT086b3496"/>
          <w:sz w:val="24"/>
          <w:szCs w:val="24"/>
        </w:rPr>
      </w:pPr>
    </w:p>
    <w:p w:rsidR="007418E7" w:rsidRPr="008B7BEF" w:rsidRDefault="008B7BEF" w:rsidP="008B7BEF">
      <w:pPr>
        <w:autoSpaceDE w:val="0"/>
        <w:autoSpaceDN w:val="0"/>
        <w:adjustRightInd w:val="0"/>
        <w:spacing w:after="0"/>
        <w:rPr>
          <w:rFonts w:ascii="AdvTT086b3496" w:hAnsi="AdvTT086b3496" w:cs="AdvTT086b3496"/>
          <w:sz w:val="24"/>
          <w:szCs w:val="24"/>
        </w:rPr>
      </w:pPr>
      <w:r w:rsidRPr="008B7BEF">
        <w:rPr>
          <w:rFonts w:ascii="AdvTT086b3496" w:hAnsi="AdvTT086b3496" w:cs="AdvTT086b3496"/>
          <w:sz w:val="24"/>
          <w:szCs w:val="24"/>
        </w:rPr>
        <w:t>Dale C. and Andrea M. Dixon (Social Security numbers 123–45–6789 and 123–45–6788) live at 912 Mockingbird Lane, Pine Bluff, AR 71602. Both are active in real</w:t>
      </w:r>
      <w:r w:rsidRPr="008B7BEF">
        <w:rPr>
          <w:rFonts w:ascii="AdvTT086b3496" w:hAnsi="AdvTT086b3496" w:cs="AdvTT086b3496"/>
          <w:sz w:val="24"/>
          <w:szCs w:val="24"/>
        </w:rPr>
        <w:t xml:space="preserve"> </w:t>
      </w:r>
      <w:r w:rsidRPr="008B7BEF">
        <w:rPr>
          <w:rFonts w:ascii="AdvTT086b3496" w:hAnsi="AdvTT086b3496" w:cs="AdvTT086b3496"/>
          <w:sz w:val="24"/>
          <w:szCs w:val="24"/>
        </w:rPr>
        <w:t>estate ventures and in the past have developed and owned numerous shopping centers</w:t>
      </w:r>
      <w:r w:rsidRPr="008B7BEF">
        <w:rPr>
          <w:rFonts w:ascii="AdvTT086b3496" w:hAnsi="AdvTT086b3496" w:cs="AdvTT086b3496"/>
          <w:sz w:val="24"/>
          <w:szCs w:val="24"/>
        </w:rPr>
        <w:t xml:space="preserve"> </w:t>
      </w:r>
      <w:r w:rsidRPr="008B7BEF">
        <w:rPr>
          <w:rFonts w:ascii="AdvTT086b3496" w:hAnsi="AdvTT086b3496" w:cs="AdvTT086b3496"/>
          <w:sz w:val="24"/>
          <w:szCs w:val="24"/>
        </w:rPr>
        <w:t>in various parts of Arkansas and northern Mississippi. They have two children,</w:t>
      </w:r>
      <w:r w:rsidRPr="008B7BEF">
        <w:rPr>
          <w:rFonts w:ascii="AdvTT086b3496" w:hAnsi="AdvTT086b3496" w:cs="AdvTT086b3496"/>
          <w:sz w:val="24"/>
          <w:szCs w:val="24"/>
        </w:rPr>
        <w:t xml:space="preserve"> </w:t>
      </w:r>
      <w:r w:rsidRPr="008B7BEF">
        <w:rPr>
          <w:rFonts w:ascii="AdvTT086b3496" w:hAnsi="AdvTT086b3496" w:cs="AdvTT086b3496"/>
          <w:sz w:val="24"/>
          <w:szCs w:val="24"/>
        </w:rPr>
        <w:t>Calvin (age 21) and Cindy (age 22), both of whom attend college. During 2009, Dale</w:t>
      </w:r>
      <w:r w:rsidRPr="008B7BEF">
        <w:rPr>
          <w:rFonts w:ascii="AdvTT086b3496" w:hAnsi="AdvTT086b3496" w:cs="AdvTT086b3496"/>
          <w:sz w:val="24"/>
          <w:szCs w:val="24"/>
        </w:rPr>
        <w:t xml:space="preserve"> </w:t>
      </w:r>
      <w:r w:rsidRPr="008B7BEF">
        <w:rPr>
          <w:rFonts w:ascii="AdvTT086b3496" w:hAnsi="AdvTT086b3496" w:cs="AdvTT086b3496"/>
          <w:sz w:val="24"/>
          <w:szCs w:val="24"/>
        </w:rPr>
        <w:t>and Andrea made the following transfers.</w:t>
      </w:r>
    </w:p>
    <w:p w:rsidR="008B7BEF" w:rsidRPr="008B7BEF" w:rsidRDefault="008B7BEF" w:rsidP="008B7BEF">
      <w:pPr>
        <w:autoSpaceDE w:val="0"/>
        <w:autoSpaceDN w:val="0"/>
        <w:adjustRightInd w:val="0"/>
        <w:spacing w:after="0"/>
        <w:rPr>
          <w:rFonts w:ascii="AdvTT086b3496" w:hAnsi="AdvTT086b3496" w:cs="AdvTT086b349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1800"/>
        <w:gridCol w:w="1908"/>
      </w:tblGrid>
      <w:tr w:rsidR="008B7BEF" w:rsidRPr="008B7BEF" w:rsidTr="008B7BEF">
        <w:tc>
          <w:tcPr>
            <w:tcW w:w="5868" w:type="dxa"/>
          </w:tcPr>
          <w:p w:rsidR="008B7BEF" w:rsidRPr="008B7BEF" w:rsidRDefault="008B7BEF" w:rsidP="008B7BE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708" w:type="dxa"/>
            <w:gridSpan w:val="2"/>
          </w:tcPr>
          <w:p w:rsidR="008B7BEF" w:rsidRPr="008B7BEF" w:rsidRDefault="008B7BEF" w:rsidP="008B7B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B7BEF">
              <w:rPr>
                <w:b/>
                <w:sz w:val="24"/>
                <w:szCs w:val="24"/>
              </w:rPr>
              <w:t>Donor</w:t>
            </w:r>
          </w:p>
        </w:tc>
      </w:tr>
      <w:tr w:rsidR="008B7BEF" w:rsidRPr="008B7BEF" w:rsidTr="008B7BEF">
        <w:tc>
          <w:tcPr>
            <w:tcW w:w="5868" w:type="dxa"/>
          </w:tcPr>
          <w:p w:rsidR="008B7BEF" w:rsidRPr="008B7BEF" w:rsidRDefault="008B7BEF" w:rsidP="008B7B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B7BEF">
              <w:rPr>
                <w:b/>
                <w:sz w:val="24"/>
                <w:szCs w:val="24"/>
              </w:rPr>
              <w:t>Transfer</w:t>
            </w:r>
          </w:p>
        </w:tc>
        <w:tc>
          <w:tcPr>
            <w:tcW w:w="1800" w:type="dxa"/>
          </w:tcPr>
          <w:p w:rsidR="008B7BEF" w:rsidRPr="008B7BEF" w:rsidRDefault="008B7BEF" w:rsidP="008B7B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B7BEF">
              <w:rPr>
                <w:b/>
                <w:sz w:val="24"/>
                <w:szCs w:val="24"/>
              </w:rPr>
              <w:t>Dale</w:t>
            </w:r>
          </w:p>
        </w:tc>
        <w:tc>
          <w:tcPr>
            <w:tcW w:w="1908" w:type="dxa"/>
          </w:tcPr>
          <w:p w:rsidR="008B7BEF" w:rsidRPr="008B7BEF" w:rsidRDefault="008B7BEF" w:rsidP="008B7B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B7BEF">
              <w:rPr>
                <w:b/>
                <w:sz w:val="24"/>
                <w:szCs w:val="24"/>
              </w:rPr>
              <w:t>Andrea</w:t>
            </w:r>
          </w:p>
        </w:tc>
      </w:tr>
      <w:tr w:rsidR="008B7BEF" w:rsidRPr="008B7BEF" w:rsidTr="008B7BEF">
        <w:tc>
          <w:tcPr>
            <w:tcW w:w="5868" w:type="dxa"/>
          </w:tcPr>
          <w:p w:rsidR="008B7BEF" w:rsidRPr="008B7BEF" w:rsidRDefault="008B7BEF" w:rsidP="008B7BE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B7BEF">
              <w:rPr>
                <w:rFonts w:ascii="AdvP43AD6E" w:hAnsi="AdvP43AD6E" w:cs="AdvP43AD6E"/>
                <w:sz w:val="24"/>
                <w:szCs w:val="24"/>
              </w:rPr>
              <w:t>Paid Falcon University for the college expenses</w:t>
            </w:r>
            <w:r w:rsidRPr="008B7BEF">
              <w:rPr>
                <w:rFonts w:ascii="AdvP43AD6E" w:hAnsi="AdvP43AD6E" w:cs="AdvP43AD6E"/>
                <w:sz w:val="24"/>
                <w:szCs w:val="24"/>
              </w:rPr>
              <w:t xml:space="preserve"> </w:t>
            </w:r>
            <w:r w:rsidRPr="008B7BEF">
              <w:rPr>
                <w:rFonts w:ascii="AdvP43AD6E" w:hAnsi="AdvP43AD6E" w:cs="AdvP43AD6E"/>
                <w:sz w:val="24"/>
                <w:szCs w:val="24"/>
              </w:rPr>
              <w:t>relating to Calvin and Cindy: tuition ($70,000),</w:t>
            </w:r>
            <w:r w:rsidRPr="008B7BEF">
              <w:rPr>
                <w:rFonts w:ascii="AdvP43AD6E" w:hAnsi="AdvP43AD6E" w:cs="AdvP43AD6E"/>
                <w:sz w:val="24"/>
                <w:szCs w:val="24"/>
              </w:rPr>
              <w:t xml:space="preserve"> </w:t>
            </w:r>
            <w:r w:rsidRPr="008B7BEF">
              <w:rPr>
                <w:rFonts w:ascii="AdvP43AD6E" w:hAnsi="AdvP43AD6E" w:cs="AdvP43AD6E"/>
                <w:sz w:val="24"/>
                <w:szCs w:val="24"/>
              </w:rPr>
              <w:t>lodging ($7,000), and board ($9,000).</w:t>
            </w:r>
          </w:p>
        </w:tc>
        <w:tc>
          <w:tcPr>
            <w:tcW w:w="1800" w:type="dxa"/>
          </w:tcPr>
          <w:p w:rsidR="008B7BEF" w:rsidRPr="008B7BEF" w:rsidRDefault="008B7BEF" w:rsidP="008B7B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B7BEF" w:rsidRPr="008B7BEF" w:rsidRDefault="008B7BEF" w:rsidP="008B7B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B7BEF">
              <w:rPr>
                <w:sz w:val="24"/>
                <w:szCs w:val="24"/>
              </w:rPr>
              <w:t>43,000</w:t>
            </w:r>
          </w:p>
        </w:tc>
        <w:tc>
          <w:tcPr>
            <w:tcW w:w="1908" w:type="dxa"/>
          </w:tcPr>
          <w:p w:rsidR="008B7BEF" w:rsidRPr="008B7BEF" w:rsidRDefault="008B7BEF" w:rsidP="008B7B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B7BEF" w:rsidRPr="008B7BEF" w:rsidRDefault="008B7BEF" w:rsidP="008B7B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B7BEF">
              <w:rPr>
                <w:sz w:val="24"/>
                <w:szCs w:val="24"/>
              </w:rPr>
              <w:t>43,000</w:t>
            </w:r>
          </w:p>
        </w:tc>
      </w:tr>
      <w:tr w:rsidR="008B7BEF" w:rsidRPr="008B7BEF" w:rsidTr="008B7BEF">
        <w:trPr>
          <w:trHeight w:val="863"/>
        </w:trPr>
        <w:tc>
          <w:tcPr>
            <w:tcW w:w="5868" w:type="dxa"/>
          </w:tcPr>
          <w:p w:rsidR="008B7BEF" w:rsidRPr="008B7BEF" w:rsidRDefault="008B7BEF" w:rsidP="008B7BE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B7BEF">
              <w:rPr>
                <w:rFonts w:ascii="AdvP43AD6E" w:hAnsi="AdvP43AD6E" w:cs="AdvP43AD6E"/>
                <w:sz w:val="24"/>
                <w:szCs w:val="24"/>
              </w:rPr>
              <w:t>Purchased a tract of undeveloped land in Grant</w:t>
            </w:r>
            <w:r w:rsidRPr="008B7BEF">
              <w:rPr>
                <w:rFonts w:ascii="AdvP43AD6E" w:hAnsi="AdvP43AD6E" w:cs="AdvP43AD6E"/>
                <w:sz w:val="24"/>
                <w:szCs w:val="24"/>
              </w:rPr>
              <w:t xml:space="preserve"> </w:t>
            </w:r>
            <w:r w:rsidRPr="008B7BEF">
              <w:rPr>
                <w:rFonts w:ascii="AdvP43AD6E" w:hAnsi="AdvP43AD6E" w:cs="AdvP43AD6E"/>
                <w:sz w:val="24"/>
                <w:szCs w:val="24"/>
              </w:rPr>
              <w:t>County, listing title as ‘‘Calvin and Cindy Dixon,</w:t>
            </w:r>
            <w:r w:rsidRPr="008B7BEF">
              <w:rPr>
                <w:rFonts w:ascii="AdvP43AD6E" w:hAnsi="AdvP43AD6E" w:cs="AdvP43AD6E"/>
                <w:sz w:val="24"/>
                <w:szCs w:val="24"/>
              </w:rPr>
              <w:t xml:space="preserve"> </w:t>
            </w:r>
            <w:r w:rsidRPr="008B7BEF">
              <w:rPr>
                <w:rFonts w:ascii="AdvP43AD6E" w:hAnsi="AdvP43AD6E" w:cs="AdvP43AD6E"/>
                <w:sz w:val="24"/>
                <w:szCs w:val="24"/>
              </w:rPr>
              <w:t>joint tenants with right of survivorship.’’</w:t>
            </w:r>
          </w:p>
        </w:tc>
        <w:tc>
          <w:tcPr>
            <w:tcW w:w="1800" w:type="dxa"/>
          </w:tcPr>
          <w:p w:rsidR="008B7BEF" w:rsidRPr="008B7BEF" w:rsidRDefault="008B7BEF" w:rsidP="008B7B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B7BEF" w:rsidRPr="008B7BEF" w:rsidRDefault="008B7BEF" w:rsidP="008B7B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B7BEF">
              <w:rPr>
                <w:sz w:val="24"/>
                <w:szCs w:val="24"/>
              </w:rPr>
              <w:t>100,000</w:t>
            </w:r>
          </w:p>
        </w:tc>
        <w:tc>
          <w:tcPr>
            <w:tcW w:w="1908" w:type="dxa"/>
          </w:tcPr>
          <w:p w:rsidR="008B7BEF" w:rsidRPr="008B7BEF" w:rsidRDefault="008B7BEF" w:rsidP="008B7B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B7BEF" w:rsidRPr="008B7BEF" w:rsidRDefault="008B7BEF" w:rsidP="008B7B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B7BEF">
              <w:rPr>
                <w:sz w:val="24"/>
                <w:szCs w:val="24"/>
              </w:rPr>
              <w:t>100,000</w:t>
            </w:r>
          </w:p>
        </w:tc>
      </w:tr>
      <w:tr w:rsidR="008B7BEF" w:rsidRPr="008B7BEF" w:rsidTr="008B7BEF">
        <w:trPr>
          <w:trHeight w:val="890"/>
        </w:trPr>
        <w:tc>
          <w:tcPr>
            <w:tcW w:w="5868" w:type="dxa"/>
          </w:tcPr>
          <w:p w:rsidR="008B7BEF" w:rsidRPr="008B7BEF" w:rsidRDefault="008B7BEF" w:rsidP="008B7BE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B7BEF">
              <w:rPr>
                <w:rFonts w:ascii="AdvP43AD6E" w:hAnsi="AdvP43AD6E" w:cs="AdvP43AD6E"/>
                <w:sz w:val="24"/>
                <w:szCs w:val="24"/>
              </w:rPr>
              <w:t>Paid the medical providers (e.g., physicians,</w:t>
            </w:r>
            <w:r w:rsidRPr="008B7BEF">
              <w:rPr>
                <w:rFonts w:ascii="AdvP43AD6E" w:hAnsi="AdvP43AD6E" w:cs="AdvP43AD6E"/>
                <w:sz w:val="24"/>
                <w:szCs w:val="24"/>
              </w:rPr>
              <w:t xml:space="preserve"> </w:t>
            </w:r>
            <w:r w:rsidRPr="008B7BEF">
              <w:rPr>
                <w:rFonts w:ascii="AdvP43AD6E" w:hAnsi="AdvP43AD6E" w:cs="AdvP43AD6E"/>
                <w:sz w:val="24"/>
                <w:szCs w:val="24"/>
              </w:rPr>
              <w:t>hospital) for Cheryl Dixon’s heart surgery.</w:t>
            </w:r>
            <w:r w:rsidRPr="008B7BEF">
              <w:rPr>
                <w:rFonts w:ascii="AdvP43AD6E" w:hAnsi="AdvP43AD6E" w:cs="AdvP43AD6E"/>
                <w:sz w:val="24"/>
                <w:szCs w:val="24"/>
              </w:rPr>
              <w:t xml:space="preserve"> </w:t>
            </w:r>
            <w:r w:rsidRPr="008B7BEF">
              <w:rPr>
                <w:rFonts w:ascii="AdvP43AD6E" w:hAnsi="AdvP43AD6E" w:cs="AdvP43AD6E"/>
                <w:sz w:val="24"/>
                <w:szCs w:val="24"/>
              </w:rPr>
              <w:t>Cheryl is Dale’s mother but not a dependent of</w:t>
            </w:r>
            <w:r w:rsidRPr="008B7BEF">
              <w:rPr>
                <w:rFonts w:ascii="AdvP43AD6E" w:hAnsi="AdvP43AD6E" w:cs="AdvP43AD6E"/>
                <w:sz w:val="24"/>
                <w:szCs w:val="24"/>
              </w:rPr>
              <w:t xml:space="preserve"> </w:t>
            </w:r>
            <w:r w:rsidRPr="008B7BEF">
              <w:rPr>
                <w:rFonts w:ascii="AdvP43AD6E" w:hAnsi="AdvP43AD6E" w:cs="AdvP43AD6E"/>
                <w:sz w:val="24"/>
                <w:szCs w:val="24"/>
              </w:rPr>
              <w:t>the Dixons.</w:t>
            </w:r>
          </w:p>
        </w:tc>
        <w:tc>
          <w:tcPr>
            <w:tcW w:w="1800" w:type="dxa"/>
          </w:tcPr>
          <w:p w:rsidR="008B7BEF" w:rsidRPr="008B7BEF" w:rsidRDefault="008B7BEF" w:rsidP="008B7B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B7BEF" w:rsidRPr="008B7BEF" w:rsidRDefault="008B7BEF" w:rsidP="008B7B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B7BEF">
              <w:rPr>
                <w:sz w:val="24"/>
                <w:szCs w:val="24"/>
              </w:rPr>
              <w:t>40,000</w:t>
            </w:r>
          </w:p>
        </w:tc>
        <w:tc>
          <w:tcPr>
            <w:tcW w:w="1908" w:type="dxa"/>
          </w:tcPr>
          <w:p w:rsidR="008B7BEF" w:rsidRPr="008B7BEF" w:rsidRDefault="008B7BEF" w:rsidP="008B7B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7BEF" w:rsidRPr="008B7BEF" w:rsidTr="008B7BEF">
        <w:tc>
          <w:tcPr>
            <w:tcW w:w="5868" w:type="dxa"/>
          </w:tcPr>
          <w:p w:rsidR="008B7BEF" w:rsidRPr="008B7BEF" w:rsidRDefault="008B7BEF" w:rsidP="008B7BE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B7BEF">
              <w:rPr>
                <w:rFonts w:ascii="AdvP43AD6E" w:hAnsi="AdvP43AD6E" w:cs="AdvP43AD6E"/>
                <w:sz w:val="24"/>
                <w:szCs w:val="24"/>
              </w:rPr>
              <w:t>Gave the Martins (Andrea’s parents) an RV as an</w:t>
            </w:r>
            <w:r w:rsidRPr="008B7BEF">
              <w:rPr>
                <w:rFonts w:ascii="AdvP43AD6E" w:hAnsi="AdvP43AD6E" w:cs="AdvP43AD6E"/>
                <w:sz w:val="24"/>
                <w:szCs w:val="24"/>
              </w:rPr>
              <w:t xml:space="preserve"> </w:t>
            </w:r>
            <w:r w:rsidRPr="008B7BEF">
              <w:rPr>
                <w:rFonts w:ascii="AdvP43AD6E" w:hAnsi="AdvP43AD6E" w:cs="AdvP43AD6E"/>
                <w:sz w:val="24"/>
                <w:szCs w:val="24"/>
              </w:rPr>
              <w:t>anniversary present.</w:t>
            </w:r>
          </w:p>
        </w:tc>
        <w:tc>
          <w:tcPr>
            <w:tcW w:w="1800" w:type="dxa"/>
          </w:tcPr>
          <w:p w:rsidR="008B7BEF" w:rsidRPr="008B7BEF" w:rsidRDefault="008B7BEF" w:rsidP="008B7B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B7BEF" w:rsidRPr="008B7BEF" w:rsidRDefault="008B7BEF" w:rsidP="008B7B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8B7BEF" w:rsidRPr="008B7BEF" w:rsidRDefault="008B7BEF" w:rsidP="008B7B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B7BEF" w:rsidRPr="008B7BEF" w:rsidRDefault="008B7BEF" w:rsidP="008B7B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B7BEF">
              <w:rPr>
                <w:sz w:val="24"/>
                <w:szCs w:val="24"/>
              </w:rPr>
              <w:t>110,000</w:t>
            </w:r>
          </w:p>
        </w:tc>
      </w:tr>
      <w:tr w:rsidR="008B7BEF" w:rsidRPr="008B7BEF" w:rsidTr="008B7BEF">
        <w:tc>
          <w:tcPr>
            <w:tcW w:w="5868" w:type="dxa"/>
          </w:tcPr>
          <w:p w:rsidR="008B7BEF" w:rsidRPr="008B7BEF" w:rsidRDefault="008B7BEF" w:rsidP="008B7BEF">
            <w:pPr>
              <w:autoSpaceDE w:val="0"/>
              <w:autoSpaceDN w:val="0"/>
              <w:adjustRightInd w:val="0"/>
              <w:spacing w:line="276" w:lineRule="auto"/>
              <w:rPr>
                <w:rFonts w:ascii="AdvP43AD6E" w:hAnsi="AdvP43AD6E" w:cs="AdvP43AD6E"/>
                <w:sz w:val="24"/>
                <w:szCs w:val="24"/>
              </w:rPr>
            </w:pPr>
            <w:r w:rsidRPr="008B7BEF">
              <w:rPr>
                <w:rFonts w:ascii="AdvP43AD6E" w:hAnsi="AdvP43AD6E" w:cs="AdvP43AD6E"/>
                <w:sz w:val="24"/>
                <w:szCs w:val="24"/>
              </w:rPr>
              <w:t>Reimbursed Gail Nash (Dale’s sister) for the legal</w:t>
            </w:r>
            <w:r w:rsidRPr="008B7BEF">
              <w:rPr>
                <w:rFonts w:ascii="AdvP43AD6E" w:hAnsi="AdvP43AD6E" w:cs="AdvP43AD6E"/>
                <w:sz w:val="24"/>
                <w:szCs w:val="24"/>
              </w:rPr>
              <w:t xml:space="preserve"> </w:t>
            </w:r>
            <w:r w:rsidRPr="008B7BEF">
              <w:rPr>
                <w:rFonts w:ascii="AdvP43AD6E" w:hAnsi="AdvP43AD6E" w:cs="AdvP43AD6E"/>
                <w:sz w:val="24"/>
                <w:szCs w:val="24"/>
              </w:rPr>
              <w:t>expenses she incurred in obtaining a divorce.</w:t>
            </w:r>
            <w:r w:rsidRPr="008B7BEF">
              <w:rPr>
                <w:rFonts w:ascii="AdvP43AD6E" w:hAnsi="AdvP43AD6E" w:cs="AdvP43AD6E"/>
                <w:sz w:val="24"/>
                <w:szCs w:val="24"/>
              </w:rPr>
              <w:t xml:space="preserve"> </w:t>
            </w:r>
            <w:r w:rsidRPr="008B7BEF">
              <w:rPr>
                <w:rFonts w:ascii="AdvP43AD6E" w:hAnsi="AdvP43AD6E" w:cs="AdvP43AD6E"/>
                <w:sz w:val="24"/>
                <w:szCs w:val="24"/>
              </w:rPr>
              <w:t>Gail is not a dependent of the Dixons.</w:t>
            </w:r>
          </w:p>
        </w:tc>
        <w:tc>
          <w:tcPr>
            <w:tcW w:w="1800" w:type="dxa"/>
          </w:tcPr>
          <w:p w:rsidR="008B7BEF" w:rsidRPr="008B7BEF" w:rsidRDefault="008B7BEF" w:rsidP="008B7B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B7BEF" w:rsidRPr="008B7BEF" w:rsidRDefault="008B7BEF" w:rsidP="008B7B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B7BEF">
              <w:rPr>
                <w:sz w:val="24"/>
                <w:szCs w:val="24"/>
              </w:rPr>
              <w:t>30,000</w:t>
            </w:r>
          </w:p>
        </w:tc>
        <w:tc>
          <w:tcPr>
            <w:tcW w:w="1908" w:type="dxa"/>
          </w:tcPr>
          <w:p w:rsidR="008B7BEF" w:rsidRPr="008B7BEF" w:rsidRDefault="008B7BEF" w:rsidP="008B7B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B7BEF" w:rsidRPr="008B7BEF" w:rsidRDefault="008B7BEF" w:rsidP="008B7BEF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8B7BEF" w:rsidRPr="008B7BEF" w:rsidRDefault="008B7BEF" w:rsidP="008B7BEF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8B7BEF">
        <w:rPr>
          <w:rFonts w:ascii="AdvTT086b3496" w:hAnsi="AdvTT086b3496" w:cs="AdvTT086b3496"/>
          <w:sz w:val="24"/>
          <w:szCs w:val="24"/>
        </w:rPr>
        <w:t>In 2008, the Dixons created several family trusts. As a result, they made taxable</w:t>
      </w:r>
      <w:r w:rsidRPr="008B7BEF">
        <w:rPr>
          <w:rFonts w:ascii="AdvTT086b3496" w:hAnsi="AdvTT086b3496" w:cs="AdvTT086b3496"/>
          <w:sz w:val="24"/>
          <w:szCs w:val="24"/>
        </w:rPr>
        <w:t xml:space="preserve"> </w:t>
      </w:r>
      <w:r w:rsidRPr="008B7BEF">
        <w:rPr>
          <w:rFonts w:ascii="AdvTT086b3496" w:hAnsi="AdvTT086b3496" w:cs="AdvTT086b3496"/>
          <w:sz w:val="24"/>
          <w:szCs w:val="24"/>
        </w:rPr>
        <w:t>gifts of $2.1 million and paid a gift tax of $41,000.</w:t>
      </w:r>
      <w:r w:rsidRPr="008B7BEF">
        <w:rPr>
          <w:rFonts w:ascii="AdvTT086b3496" w:hAnsi="AdvTT086b3496" w:cs="AdvTT086b3496"/>
          <w:sz w:val="24"/>
          <w:szCs w:val="24"/>
        </w:rPr>
        <w:t xml:space="preserve"> </w:t>
      </w:r>
      <w:r w:rsidRPr="008B7BEF">
        <w:rPr>
          <w:rFonts w:ascii="AdvTT086b3496" w:hAnsi="AdvTT086b3496" w:cs="AdvTT086b3496"/>
          <w:sz w:val="24"/>
          <w:szCs w:val="24"/>
        </w:rPr>
        <w:t>Prepare 2009 gift tax returns (Form 709) for the Dixons. As in the past, the</w:t>
      </w:r>
      <w:r w:rsidRPr="008B7BEF">
        <w:rPr>
          <w:rFonts w:ascii="AdvTT086b3496" w:hAnsi="AdvTT086b3496" w:cs="AdvTT086b3496"/>
          <w:sz w:val="24"/>
          <w:szCs w:val="24"/>
        </w:rPr>
        <w:t xml:space="preserve"> </w:t>
      </w:r>
      <w:r w:rsidRPr="008B7BEF">
        <w:rPr>
          <w:rFonts w:ascii="AdvTT086b3496" w:hAnsi="AdvTT086b3496" w:cs="AdvTT086b3496"/>
          <w:sz w:val="24"/>
          <w:szCs w:val="24"/>
        </w:rPr>
        <w:t>Dixons make the § 2513 election to split the gifts.</w:t>
      </w:r>
    </w:p>
    <w:p w:rsidR="008B7BEF" w:rsidRPr="008B7BEF" w:rsidRDefault="008B7BEF" w:rsidP="008B7BEF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8B7BEF" w:rsidRPr="008B7BEF" w:rsidRDefault="008B7BEF" w:rsidP="008B7BEF">
      <w:pPr>
        <w:autoSpaceDE w:val="0"/>
        <w:autoSpaceDN w:val="0"/>
        <w:adjustRightInd w:val="0"/>
        <w:spacing w:after="0"/>
        <w:rPr>
          <w:sz w:val="24"/>
          <w:szCs w:val="24"/>
        </w:rPr>
      </w:pPr>
      <w:bookmarkStart w:id="0" w:name="_GoBack"/>
      <w:bookmarkEnd w:id="0"/>
    </w:p>
    <w:sectPr w:rsidR="008B7BEF" w:rsidRPr="008B7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T086b349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3AD6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EF"/>
    <w:rsid w:val="00430B3B"/>
    <w:rsid w:val="007418E7"/>
    <w:rsid w:val="008B7BEF"/>
    <w:rsid w:val="00A8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2011-06-06T05:41:00Z</dcterms:created>
  <dcterms:modified xsi:type="dcterms:W3CDTF">2011-06-06T05:47:00Z</dcterms:modified>
</cp:coreProperties>
</file>