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0837" w:rsidRDefault="00816A15"/>
    <w:p w:rsidR="00B65CB9" w:rsidRDefault="00B65CB9"/>
    <w:p w:rsidR="00B65CB9" w:rsidRDefault="00B65CB9"/>
    <w:p w:rsidR="00B65CB9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B65CB9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B65CB9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B65CB9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B65CB9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B65CB9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B65CB9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B65CB9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B65CB9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076325" cy="871869"/>
            <wp:effectExtent l="19050" t="0" r="9525" b="0"/>
            <wp:docPr id="1" name="Picture 0" descr="female afri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 afric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319" cy="87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B9" w:rsidRDefault="00B65CB9" w:rsidP="00B65CB9">
      <w:r>
        <w:t>Class:</w:t>
      </w:r>
    </w:p>
    <w:p w:rsidR="00B65CB9" w:rsidRDefault="00B65CB9" w:rsidP="00B65CB9">
      <w:r>
        <w:t xml:space="preserve">Please complete the Solution sections below for </w:t>
      </w:r>
      <w:r w:rsidRPr="00CC3867">
        <w:rPr>
          <w:b/>
          <w:color w:val="0066FF"/>
          <w:sz w:val="24"/>
          <w:szCs w:val="24"/>
          <w:u w:val="single"/>
        </w:rPr>
        <w:t>Problem</w:t>
      </w:r>
      <w:r>
        <w:rPr>
          <w:b/>
          <w:color w:val="0066FF"/>
          <w:sz w:val="24"/>
          <w:szCs w:val="24"/>
          <w:u w:val="single"/>
        </w:rPr>
        <w:t>(</w:t>
      </w:r>
      <w:r w:rsidRPr="00CC3867">
        <w:rPr>
          <w:b/>
          <w:color w:val="0066FF"/>
          <w:sz w:val="24"/>
          <w:szCs w:val="24"/>
          <w:u w:val="single"/>
        </w:rPr>
        <w:t>s</w:t>
      </w:r>
      <w:r>
        <w:rPr>
          <w:b/>
          <w:color w:val="0066FF"/>
          <w:sz w:val="24"/>
          <w:szCs w:val="24"/>
          <w:u w:val="single"/>
        </w:rPr>
        <w:t>)</w:t>
      </w:r>
      <w:r>
        <w:t xml:space="preserve"> from Chapter 3:</w:t>
      </w:r>
    </w:p>
    <w:p w:rsidR="00B65CB9" w:rsidRDefault="00B65CB9" w:rsidP="00B65CB9">
      <w:r>
        <w:t>Thanks.</w:t>
      </w:r>
    </w:p>
    <w:p w:rsidR="00B65CB9" w:rsidRDefault="00B65CB9" w:rsidP="00B65CB9">
      <w:r>
        <w:t>Reminder: Please put your NAME in the file name of file returned.</w:t>
      </w:r>
    </w:p>
    <w:p w:rsidR="00B65CB9" w:rsidRDefault="00B65CB9" w:rsidP="00B65CB9">
      <w:r>
        <w:t>Thanks.</w:t>
      </w:r>
    </w:p>
    <w:p w:rsidR="00B65CB9" w:rsidRDefault="00B65CB9" w:rsidP="00B65CB9"/>
    <w:p w:rsidR="00B65CB9" w:rsidRPr="00307DF1" w:rsidRDefault="00B65CB9" w:rsidP="00B65CB9">
      <w:pPr>
        <w:rPr>
          <w:rFonts w:ascii="Mistral" w:hAnsi="Mistral"/>
          <w:color w:val="0066FF"/>
          <w:sz w:val="36"/>
          <w:szCs w:val="36"/>
        </w:rPr>
      </w:pPr>
      <w:r w:rsidRPr="00307DF1">
        <w:rPr>
          <w:rFonts w:ascii="Mistral" w:hAnsi="Mistral"/>
          <w:color w:val="0066FF"/>
          <w:sz w:val="36"/>
          <w:szCs w:val="36"/>
        </w:rPr>
        <w:t>Professor Frank</w:t>
      </w:r>
    </w:p>
    <w:p w:rsidR="00B65CB9" w:rsidRDefault="00B65CB9" w:rsidP="00B65CB9"/>
    <w:p w:rsidR="00B65CB9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B65CB9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B65CB9" w:rsidRPr="008B0A34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Arial" w:hAnsi="Arial" w:cs="Arial"/>
          <w:b/>
          <w:sz w:val="24"/>
          <w:szCs w:val="24"/>
        </w:rPr>
      </w:pPr>
      <w:r w:rsidRPr="008B0A34">
        <w:rPr>
          <w:rFonts w:ascii="Arial" w:hAnsi="Arial" w:cs="Arial"/>
          <w:b/>
          <w:sz w:val="24"/>
          <w:szCs w:val="24"/>
        </w:rPr>
        <w:t>PROBLEMS</w:t>
      </w:r>
    </w:p>
    <w:p w:rsidR="00B65CB9" w:rsidRDefault="00B65CB9" w:rsidP="00B65CB9">
      <w:pPr>
        <w:pStyle w:val="PlainText"/>
        <w:tabs>
          <w:tab w:val="left" w:pos="720"/>
          <w:tab w:val="left" w:pos="1080"/>
          <w:tab w:val="left" w:pos="1260"/>
        </w:tabs>
        <w:rPr>
          <w:rFonts w:ascii="Times New Roman" w:hAnsi="Times New Roman"/>
          <w:sz w:val="22"/>
        </w:rPr>
      </w:pPr>
    </w:p>
    <w:p w:rsidR="00B65CB9" w:rsidRDefault="00B65CB9" w:rsidP="008623F5">
      <w:pPr>
        <w:shd w:val="clear" w:color="auto" w:fill="D9D9D9" w:themeFill="background1" w:themeFillShade="D9"/>
      </w:pPr>
      <w:r>
        <w:t>1.</w:t>
      </w:r>
      <w:r>
        <w:rPr>
          <w:b/>
        </w:rPr>
        <w:t xml:space="preserve"> </w:t>
      </w:r>
      <w:r>
        <w:t>The Waterford Wax Company had the following current account activity last year.</w:t>
      </w:r>
    </w:p>
    <w:p w:rsidR="00B65CB9" w:rsidRDefault="00B65CB9" w:rsidP="008623F5">
      <w:pPr>
        <w:pStyle w:val="TOC1"/>
        <w:shd w:val="clear" w:color="auto" w:fill="D9D9D9" w:themeFill="background1" w:themeFillShade="D9"/>
        <w:rPr>
          <w:snapToGrid/>
        </w:rPr>
      </w:pPr>
    </w:p>
    <w:p w:rsidR="00B65CB9" w:rsidRDefault="00B65CB9" w:rsidP="008623F5">
      <w:pPr>
        <w:shd w:val="clear" w:color="auto" w:fill="D9D9D9" w:themeFill="background1" w:themeFillShade="D9"/>
      </w:pPr>
      <w:r>
        <w:tab/>
      </w:r>
      <w:r>
        <w:tab/>
      </w:r>
      <w:r>
        <w:rPr>
          <w:u w:val="single"/>
        </w:rPr>
        <w:t>Beginning</w:t>
      </w:r>
      <w:r>
        <w:tab/>
      </w:r>
      <w:r>
        <w:rPr>
          <w:u w:val="single"/>
        </w:rPr>
        <w:t>Ending</w:t>
      </w:r>
      <w:r>
        <w:tab/>
      </w:r>
      <w:r>
        <w:tab/>
      </w:r>
      <w:r>
        <w:tab/>
      </w:r>
      <w:r>
        <w:tab/>
      </w:r>
      <w:r>
        <w:rPr>
          <w:u w:val="single"/>
        </w:rPr>
        <w:t>Beginning</w:t>
      </w:r>
      <w:r>
        <w:tab/>
      </w:r>
      <w:r>
        <w:rPr>
          <w:u w:val="single"/>
        </w:rPr>
        <w:t>Ending</w:t>
      </w:r>
    </w:p>
    <w:p w:rsidR="00B65CB9" w:rsidRDefault="00B65CB9" w:rsidP="008623F5">
      <w:pPr>
        <w:shd w:val="clear" w:color="auto" w:fill="D9D9D9" w:themeFill="background1" w:themeFillShade="D9"/>
      </w:pPr>
      <w:r>
        <w:t>Cash</w:t>
      </w:r>
      <w:r>
        <w:tab/>
      </w:r>
      <w:r>
        <w:tab/>
        <w:t>$   160</w:t>
      </w:r>
      <w:r>
        <w:tab/>
      </w:r>
      <w:r>
        <w:tab/>
        <w:t>$   333</w:t>
      </w:r>
      <w:r>
        <w:tab/>
      </w:r>
      <w:r>
        <w:tab/>
        <w:t>Accts Pay</w:t>
      </w:r>
      <w:r>
        <w:tab/>
        <w:t xml:space="preserve">   $722</w:t>
      </w:r>
      <w:r>
        <w:tab/>
      </w:r>
      <w:r>
        <w:tab/>
        <w:t>$2,084</w:t>
      </w:r>
    </w:p>
    <w:p w:rsidR="00B65CB9" w:rsidRDefault="00B65CB9" w:rsidP="008623F5">
      <w:pPr>
        <w:shd w:val="clear" w:color="auto" w:fill="D9D9D9" w:themeFill="background1" w:themeFillShade="D9"/>
      </w:pPr>
      <w:r>
        <w:t>Accts Rec</w:t>
      </w:r>
      <w:r>
        <w:tab/>
        <w:t xml:space="preserve">  1,875</w:t>
      </w:r>
      <w:r>
        <w:tab/>
      </w:r>
      <w:r>
        <w:tab/>
        <w:t xml:space="preserve">  3,810</w:t>
      </w:r>
      <w:r>
        <w:tab/>
      </w:r>
      <w:r>
        <w:tab/>
        <w:t>Accruals</w:t>
      </w:r>
      <w:r>
        <w:tab/>
        <w:t xml:space="preserve">   </w:t>
      </w:r>
      <w:r>
        <w:rPr>
          <w:u w:val="single"/>
        </w:rPr>
        <w:t>$217</w:t>
      </w:r>
      <w:r>
        <w:tab/>
      </w:r>
      <w:r>
        <w:tab/>
      </w:r>
      <w:r>
        <w:rPr>
          <w:u w:val="single"/>
        </w:rPr>
        <w:t xml:space="preserve">     456</w:t>
      </w:r>
    </w:p>
    <w:p w:rsidR="00B65CB9" w:rsidRDefault="00B65CB9" w:rsidP="008623F5">
      <w:pPr>
        <w:shd w:val="clear" w:color="auto" w:fill="D9D9D9" w:themeFill="background1" w:themeFillShade="D9"/>
      </w:pPr>
      <w:r>
        <w:t>Inventory</w:t>
      </w:r>
      <w:r>
        <w:tab/>
      </w:r>
      <w:r>
        <w:rPr>
          <w:u w:val="single"/>
        </w:rPr>
        <w:t xml:space="preserve">     438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 2,676</w:t>
      </w:r>
      <w:r>
        <w:tab/>
      </w:r>
    </w:p>
    <w:p w:rsidR="00B65CB9" w:rsidRDefault="00B65CB9" w:rsidP="008623F5">
      <w:pPr>
        <w:shd w:val="clear" w:color="auto" w:fill="D9D9D9" w:themeFill="background1" w:themeFillShade="D9"/>
      </w:pPr>
      <w:r>
        <w:t>Curr Assets</w:t>
      </w:r>
      <w:r>
        <w:tab/>
        <w:t>$2,473</w:t>
      </w:r>
      <w:r>
        <w:tab/>
      </w:r>
      <w:r>
        <w:tab/>
        <w:t>$6,819</w:t>
      </w:r>
      <w:r>
        <w:tab/>
      </w:r>
      <w:r>
        <w:tab/>
        <w:t>Curr Liab.</w:t>
      </w:r>
      <w:r>
        <w:tab/>
        <w:t xml:space="preserve">   $939</w:t>
      </w:r>
      <w:r>
        <w:tab/>
      </w:r>
      <w:r>
        <w:tab/>
        <w:t>$2,540</w:t>
      </w:r>
    </w:p>
    <w:p w:rsidR="00B65CB9" w:rsidRDefault="00B65CB9" w:rsidP="008623F5">
      <w:pPr>
        <w:shd w:val="clear" w:color="auto" w:fill="D9D9D9" w:themeFill="background1" w:themeFillShade="D9"/>
      </w:pPr>
    </w:p>
    <w:p w:rsidR="00B65CB9" w:rsidRDefault="00B65CB9" w:rsidP="008623F5">
      <w:pPr>
        <w:shd w:val="clear" w:color="auto" w:fill="D9D9D9" w:themeFill="background1" w:themeFillShade="D9"/>
      </w:pPr>
      <w:r>
        <w:tab/>
        <w:t>a.</w:t>
      </w:r>
      <w:r>
        <w:rPr>
          <w:b/>
        </w:rPr>
        <w:t xml:space="preserve"> </w:t>
      </w:r>
      <w:r>
        <w:t xml:space="preserve">Calculate and display the current account detail required for the Cash From Operating Activities section of the Statement of Cash Flows.  </w:t>
      </w:r>
    </w:p>
    <w:p w:rsidR="00B65CB9" w:rsidRDefault="00B65CB9" w:rsidP="008623F5">
      <w:pPr>
        <w:shd w:val="clear" w:color="auto" w:fill="D9D9D9" w:themeFill="background1" w:themeFillShade="D9"/>
      </w:pPr>
      <w:r>
        <w:tab/>
        <w:t>b.</w:t>
      </w:r>
      <w:r>
        <w:rPr>
          <w:b/>
        </w:rPr>
        <w:t xml:space="preserve"> </w:t>
      </w:r>
      <w:r>
        <w:t>If you also knew that Waterford’s revenues had risen by 20% last year, would you be concerned about the firm’s financial health?  Why?  (Words only.)</w:t>
      </w:r>
    </w:p>
    <w:p w:rsidR="00B65CB9" w:rsidRDefault="00B65CB9" w:rsidP="008623F5">
      <w:pPr>
        <w:pStyle w:val="TOC1"/>
        <w:shd w:val="clear" w:color="auto" w:fill="D9D9D9" w:themeFill="background1" w:themeFillShade="D9"/>
        <w:rPr>
          <w:snapToGrid/>
        </w:rPr>
      </w:pPr>
    </w:p>
    <w:p w:rsidR="00B65CB9" w:rsidRDefault="00B65CB9" w:rsidP="008623F5">
      <w:pPr>
        <w:shd w:val="clear" w:color="auto" w:fill="D9D9D9" w:themeFill="background1" w:themeFillShade="D9"/>
      </w:pPr>
    </w:p>
    <w:p w:rsidR="00B65CB9" w:rsidRDefault="00B65CB9" w:rsidP="008623F5">
      <w:pPr>
        <w:shd w:val="clear" w:color="auto" w:fill="D9D9D9" w:themeFill="background1" w:themeFillShade="D9"/>
      </w:pPr>
    </w:p>
    <w:p w:rsidR="00B65CB9" w:rsidRDefault="00B65CB9" w:rsidP="00B65CB9"/>
    <w:p w:rsidR="00B65CB9" w:rsidRDefault="00B65CB9" w:rsidP="00B65CB9"/>
    <w:p w:rsidR="00B65CB9" w:rsidRDefault="00B65CB9" w:rsidP="00B65CB9"/>
    <w:p w:rsidR="00B65CB9" w:rsidRDefault="00B65CB9" w:rsidP="00B65CB9"/>
    <w:p w:rsidR="00B65CB9" w:rsidRDefault="00B65CB9" w:rsidP="00B65CB9"/>
    <w:p w:rsidR="00B65CB9" w:rsidRDefault="00B65CB9" w:rsidP="00B65CB9"/>
    <w:p w:rsidR="00B65CB9" w:rsidRPr="00B65CB9" w:rsidRDefault="00B65CB9" w:rsidP="00B65CB9"/>
    <w:p w:rsidR="00B65CB9" w:rsidRDefault="00B65CB9" w:rsidP="00B65CB9">
      <w:pPr>
        <w:rPr>
          <w:b/>
        </w:rPr>
      </w:pPr>
      <w:r>
        <w:rPr>
          <w:b/>
        </w:rPr>
        <w:t xml:space="preserve">SOLUTION: </w:t>
      </w:r>
    </w:p>
    <w:p w:rsidR="00B65CB9" w:rsidRDefault="00B65CB9" w:rsidP="00007089">
      <w:pPr>
        <w:pStyle w:val="ListParagraph"/>
        <w:numPr>
          <w:ilvl w:val="0"/>
          <w:numId w:val="1"/>
        </w:numPr>
      </w:pPr>
      <w:r>
        <w:t>Waterford’s current account detail is:</w:t>
      </w:r>
    </w:p>
    <w:p w:rsidR="00007089" w:rsidRDefault="00007089" w:rsidP="00007089"/>
    <w:p w:rsidR="00007089" w:rsidRDefault="00007089" w:rsidP="00007089">
      <w:pPr>
        <w:rPr>
          <w:color w:val="0066FF"/>
        </w:rPr>
      </w:pPr>
      <w:r w:rsidRPr="00007089">
        <w:rPr>
          <w:color w:val="0066FF"/>
        </w:rPr>
        <w:t>Please try to type your answers and line them up, thanks so much, I know it is a bit cumbersome.</w:t>
      </w:r>
    </w:p>
    <w:p w:rsidR="00007089" w:rsidRDefault="00007089" w:rsidP="00007089">
      <w:pPr>
        <w:rPr>
          <w:color w:val="0066FF"/>
        </w:rPr>
      </w:pPr>
      <w:r>
        <w:rPr>
          <w:color w:val="0066FF"/>
        </w:rPr>
        <w:t>Remember when a CURRENT ASSET increases it is a _______________(use,source) of CASH.</w:t>
      </w:r>
    </w:p>
    <w:p w:rsidR="00007089" w:rsidRDefault="00007089" w:rsidP="00007089">
      <w:pPr>
        <w:rPr>
          <w:color w:val="0066FF"/>
        </w:rPr>
      </w:pPr>
      <w:r>
        <w:rPr>
          <w:color w:val="0066FF"/>
        </w:rPr>
        <w:t>When a CURRENT LIABILITY increases it is a ____________________(use, source) of CASH.</w:t>
      </w:r>
    </w:p>
    <w:p w:rsidR="0071285F" w:rsidRDefault="0071285F" w:rsidP="00007089">
      <w:pPr>
        <w:rPr>
          <w:color w:val="0066FF"/>
        </w:rPr>
      </w:pPr>
    </w:p>
    <w:p w:rsidR="0071285F" w:rsidRDefault="0071285F" w:rsidP="00007089">
      <w:pPr>
        <w:rPr>
          <w:color w:val="0066FF"/>
        </w:rPr>
      </w:pPr>
    </w:p>
    <w:p w:rsidR="0071285F" w:rsidRDefault="0071285F" w:rsidP="0071285F">
      <w:pPr>
        <w:rPr>
          <w:color w:val="0066FF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1285F"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BEGINNING</w:t>
            </w: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ENDING</w:t>
            </w: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CHANGE</w:t>
            </w:r>
          </w:p>
        </w:tc>
      </w:tr>
      <w:tr w:rsidR="0071285F"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Accounts Receivables</w:t>
            </w: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1875</w:t>
            </w: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</w:p>
        </w:tc>
      </w:tr>
      <w:tr w:rsidR="0071285F"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Inventory</w:t>
            </w: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2676</w:t>
            </w: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</w:p>
        </w:tc>
      </w:tr>
      <w:tr w:rsidR="0071285F"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Payables</w:t>
            </w: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</w:p>
        </w:tc>
      </w:tr>
      <w:tr w:rsidR="0071285F"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Accruals</w:t>
            </w: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217</w:t>
            </w: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456</w:t>
            </w: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239</w:t>
            </w:r>
          </w:p>
        </w:tc>
      </w:tr>
      <w:tr w:rsidR="0071285F"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  <w:r>
              <w:rPr>
                <w:color w:val="0066FF"/>
              </w:rPr>
              <w:t>TOTAL</w:t>
            </w: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</w:p>
        </w:tc>
        <w:tc>
          <w:tcPr>
            <w:tcW w:w="2394" w:type="dxa"/>
          </w:tcPr>
          <w:p w:rsidR="0071285F" w:rsidRDefault="0071285F" w:rsidP="00F07772">
            <w:pPr>
              <w:rPr>
                <w:color w:val="0066FF"/>
              </w:rPr>
            </w:pPr>
          </w:p>
        </w:tc>
        <w:tc>
          <w:tcPr>
            <w:tcW w:w="2394" w:type="dxa"/>
          </w:tcPr>
          <w:p w:rsidR="0071285F" w:rsidRDefault="003232F3" w:rsidP="00F07772">
            <w:pPr>
              <w:rPr>
                <w:color w:val="0066FF"/>
              </w:rPr>
            </w:pPr>
            <w:r>
              <w:rPr>
                <w:color w:val="0066FF"/>
              </w:rPr>
              <w:t>(2572</w:t>
            </w:r>
            <w:r w:rsidR="0071285F">
              <w:rPr>
                <w:color w:val="0066FF"/>
              </w:rPr>
              <w:t>)</w:t>
            </w:r>
          </w:p>
        </w:tc>
      </w:tr>
    </w:tbl>
    <w:p w:rsidR="0071285F" w:rsidRDefault="0071285F" w:rsidP="00007089">
      <w:pPr>
        <w:rPr>
          <w:color w:val="0066FF"/>
        </w:rPr>
      </w:pPr>
    </w:p>
    <w:p w:rsidR="0071285F" w:rsidRPr="00007089" w:rsidRDefault="0071285F" w:rsidP="00007089">
      <w:pPr>
        <w:rPr>
          <w:color w:val="0066FF"/>
        </w:rPr>
      </w:pPr>
    </w:p>
    <w:p w:rsidR="00B65CB9" w:rsidRPr="00007089" w:rsidRDefault="00B65CB9" w:rsidP="00B65CB9">
      <w:pPr>
        <w:rPr>
          <w:color w:val="0066FF"/>
        </w:rPr>
      </w:pPr>
    </w:p>
    <w:p w:rsidR="00B65CB9" w:rsidRDefault="00B65CB9" w:rsidP="00B65CB9">
      <w:r>
        <w:tab/>
      </w:r>
      <w:r>
        <w:tab/>
      </w:r>
      <w:r>
        <w:tab/>
      </w:r>
    </w:p>
    <w:p w:rsidR="00B65CB9" w:rsidRDefault="00B65CB9" w:rsidP="00B65CB9">
      <w:r>
        <w:t xml:space="preserve">b. We should be </w:t>
      </w:r>
      <w:r w:rsidR="00007089">
        <w:t>___________,(som</w:t>
      </w:r>
      <w:r w:rsidR="00397E66">
        <w:t>ewhat, kind of , very) concerned</w:t>
      </w:r>
      <w:r w:rsidR="00007089">
        <w:t xml:space="preserve"> </w:t>
      </w:r>
      <w:r>
        <w:t xml:space="preserve"> about Waterford’s financial health.  The increases in receivables and inventory far outstrip the gain in </w:t>
      </w:r>
      <w:r w:rsidR="00007089">
        <w:t xml:space="preserve">________ </w:t>
      </w:r>
      <w:r>
        <w:t xml:space="preserve"> This indicates that the firm may be having trouble collecting its receivables and has likely invested in inventory it can’t sell.  The fact that payables have also risen dramatically indicates </w:t>
      </w:r>
      <w:r w:rsidR="00007089">
        <w:t xml:space="preserve"> what?   </w:t>
      </w:r>
      <w:r>
        <w:t xml:space="preserve"> The magnitude of these increases makes it look like failure may be just around the corner.  </w:t>
      </w:r>
    </w:p>
    <w:p w:rsidR="00007089" w:rsidRDefault="00007089" w:rsidP="00B65CB9"/>
    <w:p w:rsidR="00B65CB9" w:rsidRDefault="00007089">
      <w:pPr>
        <w:rPr>
          <w:color w:val="0066FF"/>
        </w:rPr>
      </w:pPr>
      <w:r w:rsidRPr="00007089">
        <w:rPr>
          <w:color w:val="0066FF"/>
        </w:rPr>
        <w:t>Add any other comments you feel are necessary:</w:t>
      </w:r>
    </w:p>
    <w:p w:rsidR="0071285F" w:rsidRPr="00007089" w:rsidRDefault="0071285F">
      <w:pPr>
        <w:rPr>
          <w:color w:val="0066FF"/>
        </w:rPr>
      </w:pPr>
    </w:p>
    <w:sectPr w:rsidR="0071285F" w:rsidRPr="00007089" w:rsidSect="00591E0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F3706E1"/>
    <w:multiLevelType w:val="hybridMultilevel"/>
    <w:tmpl w:val="BBCE694E"/>
    <w:lvl w:ilvl="0" w:tplc="8F064E28">
      <w:start w:val="1"/>
      <w:numFmt w:val="lowerLetter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65CB9"/>
    <w:rsid w:val="00007089"/>
    <w:rsid w:val="002A1C04"/>
    <w:rsid w:val="0031023A"/>
    <w:rsid w:val="003232F3"/>
    <w:rsid w:val="00397E66"/>
    <w:rsid w:val="00591E0F"/>
    <w:rsid w:val="00693363"/>
    <w:rsid w:val="0071285F"/>
    <w:rsid w:val="007376DA"/>
    <w:rsid w:val="00816A15"/>
    <w:rsid w:val="008623F5"/>
    <w:rsid w:val="00B65CB9"/>
    <w:rsid w:val="00B84FDF"/>
    <w:rsid w:val="00C83861"/>
    <w:rsid w:val="00EC4616"/>
  </w:rsids>
  <m:mathPr>
    <m:mathFont m:val="Mistra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B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semiHidden/>
    <w:rsid w:val="00B65CB9"/>
    <w:rPr>
      <w:snapToGrid w:val="0"/>
    </w:rPr>
  </w:style>
  <w:style w:type="paragraph" w:styleId="PlainText">
    <w:name w:val="Plain Text"/>
    <w:basedOn w:val="Normal"/>
    <w:link w:val="PlainTextChar"/>
    <w:rsid w:val="00B65CB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65CB9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B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7089"/>
    <w:rPr>
      <w:color w:val="808080"/>
    </w:rPr>
  </w:style>
  <w:style w:type="paragraph" w:styleId="ListParagraph">
    <w:name w:val="List Paragraph"/>
    <w:basedOn w:val="Normal"/>
    <w:uiPriority w:val="34"/>
    <w:qFormat/>
    <w:rsid w:val="00007089"/>
    <w:pPr>
      <w:ind w:left="720"/>
      <w:contextualSpacing/>
    </w:pPr>
  </w:style>
  <w:style w:type="table" w:styleId="TableGrid">
    <w:name w:val="Table Grid"/>
    <w:basedOn w:val="TableNormal"/>
    <w:uiPriority w:val="59"/>
    <w:rsid w:val="00712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Word 12.0.0</Application>
  <DocSecurity>0</DocSecurity>
  <Lines>12</Lines>
  <Paragraphs>2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fwyrostek</dc:creator>
  <cp:lastModifiedBy>Sean  Rahman</cp:lastModifiedBy>
  <cp:revision>2</cp:revision>
  <dcterms:created xsi:type="dcterms:W3CDTF">2011-06-05T22:28:00Z</dcterms:created>
  <dcterms:modified xsi:type="dcterms:W3CDTF">2011-06-05T22:28:00Z</dcterms:modified>
</cp:coreProperties>
</file>