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5D" w:rsidRPr="004D4C6E" w:rsidRDefault="003653BE" w:rsidP="004D4C6E">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 xml:space="preserve">Choosing an international bank that will be able to support the multinational enterprise (MNE) is of the utmost importance. The needs of the firm have to be matched to the </w:t>
      </w:r>
      <w:r w:rsidR="001F4A79" w:rsidRPr="004D4C6E">
        <w:rPr>
          <w:rFonts w:ascii="Times New Roman" w:hAnsi="Times New Roman" w:cs="Times New Roman"/>
          <w:sz w:val="24"/>
          <w:szCs w:val="24"/>
        </w:rPr>
        <w:t>essentials</w:t>
      </w:r>
      <w:r w:rsidRPr="004D4C6E">
        <w:rPr>
          <w:rFonts w:ascii="Times New Roman" w:hAnsi="Times New Roman" w:cs="Times New Roman"/>
          <w:sz w:val="24"/>
          <w:szCs w:val="24"/>
        </w:rPr>
        <w:t xml:space="preserve"> the potential bank will offer. Basically, the bank offerings have to be in complete alignment with the firms’ needs; otherwise their “partnership” will not be successful.</w:t>
      </w:r>
    </w:p>
    <w:p w:rsidR="003653BE" w:rsidRPr="004D4C6E" w:rsidRDefault="003653BE" w:rsidP="004D4C6E">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Some of the factors to consider when selecting the financial institution revolve around matching the firm’s corporate financial strategies</w:t>
      </w:r>
      <w:r w:rsidR="00F423D2" w:rsidRPr="004D4C6E">
        <w:rPr>
          <w:rFonts w:ascii="Times New Roman" w:hAnsi="Times New Roman" w:cs="Times New Roman"/>
          <w:sz w:val="24"/>
          <w:szCs w:val="24"/>
        </w:rPr>
        <w:t>,</w:t>
      </w:r>
      <w:r w:rsidRPr="004D4C6E">
        <w:rPr>
          <w:rFonts w:ascii="Times New Roman" w:hAnsi="Times New Roman" w:cs="Times New Roman"/>
          <w:sz w:val="24"/>
          <w:szCs w:val="24"/>
        </w:rPr>
        <w:t xml:space="preserve"> with the financial institutions</w:t>
      </w:r>
      <w:r w:rsidR="00F423D2" w:rsidRPr="004D4C6E">
        <w:rPr>
          <w:rFonts w:ascii="Times New Roman" w:hAnsi="Times New Roman" w:cs="Times New Roman"/>
          <w:sz w:val="24"/>
          <w:szCs w:val="24"/>
        </w:rPr>
        <w:t>’</w:t>
      </w:r>
      <w:r w:rsidRPr="004D4C6E">
        <w:rPr>
          <w:rFonts w:ascii="Times New Roman" w:hAnsi="Times New Roman" w:cs="Times New Roman"/>
          <w:sz w:val="24"/>
          <w:szCs w:val="24"/>
        </w:rPr>
        <w:t xml:space="preserve"> offerings. This alliance / association will allow the MNE to better assess the opportunities offered by the international market</w:t>
      </w:r>
      <w:r w:rsidR="00F423D2" w:rsidRPr="004D4C6E">
        <w:rPr>
          <w:rFonts w:ascii="Times New Roman" w:hAnsi="Times New Roman" w:cs="Times New Roman"/>
          <w:sz w:val="24"/>
          <w:szCs w:val="24"/>
        </w:rPr>
        <w:t xml:space="preserve"> and will also provide a mechanism for the firm to attain and manage its working capital.</w:t>
      </w:r>
    </w:p>
    <w:p w:rsidR="00F423D2" w:rsidRPr="004D4C6E" w:rsidRDefault="00F423D2" w:rsidP="004D4C6E">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 xml:space="preserve">The author has researched </w:t>
      </w:r>
      <w:r w:rsidR="00340C1A" w:rsidRPr="004D4C6E">
        <w:rPr>
          <w:rFonts w:ascii="Times New Roman" w:hAnsi="Times New Roman" w:cs="Times New Roman"/>
          <w:sz w:val="24"/>
          <w:szCs w:val="24"/>
        </w:rPr>
        <w:t>three</w:t>
      </w:r>
      <w:r w:rsidRPr="004D4C6E">
        <w:rPr>
          <w:rFonts w:ascii="Times New Roman" w:hAnsi="Times New Roman" w:cs="Times New Roman"/>
          <w:sz w:val="24"/>
          <w:szCs w:val="24"/>
        </w:rPr>
        <w:t xml:space="preserve"> major financial institutions and will contrast and compare which entity will </w:t>
      </w:r>
      <w:r w:rsidR="009A09FC">
        <w:rPr>
          <w:rFonts w:ascii="Times New Roman" w:hAnsi="Times New Roman" w:cs="Times New Roman"/>
          <w:sz w:val="24"/>
          <w:szCs w:val="24"/>
        </w:rPr>
        <w:t xml:space="preserve">be </w:t>
      </w:r>
      <w:r w:rsidRPr="004D4C6E">
        <w:rPr>
          <w:rFonts w:ascii="Times New Roman" w:hAnsi="Times New Roman" w:cs="Times New Roman"/>
          <w:sz w:val="24"/>
          <w:szCs w:val="24"/>
        </w:rPr>
        <w:t>better suited for the MNE, based on a set of assumptions. The assumptions are: the financial institution has to have subsidiaries in South America and Asia, must have local lending sources, must be able to handle centralized cash management, must be able to handle foreign exchange services and forward market, must offer short term investments, and should be able to handle accounts receivable in foreign currencies and in the local currency.</w:t>
      </w:r>
    </w:p>
    <w:p w:rsidR="00F423D2" w:rsidRPr="004D4C6E" w:rsidRDefault="00F423D2" w:rsidP="004D4C6E">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 xml:space="preserve">The entities researched were: </w:t>
      </w:r>
      <w:r w:rsidR="00340C1A" w:rsidRPr="004D4C6E">
        <w:rPr>
          <w:rFonts w:ascii="Times New Roman" w:hAnsi="Times New Roman" w:cs="Times New Roman"/>
          <w:sz w:val="24"/>
          <w:szCs w:val="24"/>
        </w:rPr>
        <w:t>Citibank, Bank of America</w:t>
      </w:r>
      <w:r w:rsidRPr="004D4C6E">
        <w:rPr>
          <w:rFonts w:ascii="Times New Roman" w:hAnsi="Times New Roman" w:cs="Times New Roman"/>
          <w:sz w:val="24"/>
          <w:szCs w:val="24"/>
        </w:rPr>
        <w:t xml:space="preserve"> </w:t>
      </w:r>
      <w:r w:rsidR="00340C1A" w:rsidRPr="004D4C6E">
        <w:rPr>
          <w:rFonts w:ascii="Times New Roman" w:hAnsi="Times New Roman" w:cs="Times New Roman"/>
          <w:sz w:val="24"/>
          <w:szCs w:val="24"/>
        </w:rPr>
        <w:t>and HSBC. All of these financial institutions offer a good</w:t>
      </w:r>
      <w:r w:rsidR="00E770C5">
        <w:rPr>
          <w:rFonts w:ascii="Times New Roman" w:hAnsi="Times New Roman" w:cs="Times New Roman"/>
          <w:sz w:val="24"/>
          <w:szCs w:val="24"/>
        </w:rPr>
        <w:t xml:space="preserve"> range and variety of services and</w:t>
      </w:r>
      <w:r w:rsidR="00340C1A" w:rsidRPr="004D4C6E">
        <w:rPr>
          <w:rFonts w:ascii="Times New Roman" w:hAnsi="Times New Roman" w:cs="Times New Roman"/>
          <w:sz w:val="24"/>
          <w:szCs w:val="24"/>
        </w:rPr>
        <w:t xml:space="preserve"> have the ability to handle all of the MNE’s requirements (above). The one difference between these fine institutions is that they all have different costs of doing business (IE different rates). It’s important to note that all three of these banks have a presence in Asia. </w:t>
      </w:r>
      <w:r w:rsidR="00B70704">
        <w:rPr>
          <w:rFonts w:ascii="Times New Roman" w:hAnsi="Times New Roman" w:cs="Times New Roman"/>
          <w:sz w:val="24"/>
          <w:szCs w:val="24"/>
        </w:rPr>
        <w:t>On contrast,</w:t>
      </w:r>
      <w:r w:rsidR="00340C1A" w:rsidRPr="004D4C6E">
        <w:rPr>
          <w:rFonts w:ascii="Times New Roman" w:hAnsi="Times New Roman" w:cs="Times New Roman"/>
          <w:sz w:val="24"/>
          <w:szCs w:val="24"/>
        </w:rPr>
        <w:t xml:space="preserve"> the Bank of America does not have a presence in South America (Bank of America, 2009). </w:t>
      </w:r>
      <w:r w:rsidR="00B70704">
        <w:rPr>
          <w:rFonts w:ascii="Times New Roman" w:hAnsi="Times New Roman" w:cs="Times New Roman"/>
          <w:sz w:val="24"/>
          <w:szCs w:val="24"/>
        </w:rPr>
        <w:t xml:space="preserve">Compared to HSBC and Bank of America, </w:t>
      </w:r>
      <w:r w:rsidR="00340C1A" w:rsidRPr="004D4C6E">
        <w:rPr>
          <w:rFonts w:ascii="Times New Roman" w:hAnsi="Times New Roman" w:cs="Times New Roman"/>
          <w:sz w:val="24"/>
          <w:szCs w:val="24"/>
        </w:rPr>
        <w:t xml:space="preserve">Citibank has </w:t>
      </w:r>
      <w:r w:rsidR="00454499" w:rsidRPr="004D4C6E">
        <w:rPr>
          <w:rFonts w:ascii="Times New Roman" w:hAnsi="Times New Roman" w:cs="Times New Roman"/>
          <w:sz w:val="24"/>
          <w:szCs w:val="24"/>
        </w:rPr>
        <w:t>the best</w:t>
      </w:r>
      <w:r w:rsidR="00340C1A" w:rsidRPr="004D4C6E">
        <w:rPr>
          <w:rFonts w:ascii="Times New Roman" w:hAnsi="Times New Roman" w:cs="Times New Roman"/>
          <w:sz w:val="24"/>
          <w:szCs w:val="24"/>
        </w:rPr>
        <w:t xml:space="preserve"> exposure in South America, since it has a presence in Brazil, Argentina, </w:t>
      </w:r>
      <w:r w:rsidR="00340C1A" w:rsidRPr="004D4C6E">
        <w:rPr>
          <w:rFonts w:ascii="Times New Roman" w:hAnsi="Times New Roman" w:cs="Times New Roman"/>
          <w:sz w:val="24"/>
          <w:szCs w:val="24"/>
        </w:rPr>
        <w:lastRenderedPageBreak/>
        <w:t>Venezuela, Peru and Chile (Citibank, 2009).</w:t>
      </w:r>
      <w:r w:rsidR="00454499" w:rsidRPr="004D4C6E">
        <w:rPr>
          <w:rFonts w:ascii="Times New Roman" w:hAnsi="Times New Roman" w:cs="Times New Roman"/>
          <w:sz w:val="24"/>
          <w:szCs w:val="24"/>
        </w:rPr>
        <w:t xml:space="preserve"> On contrast, HSBC has a presence only in Peru and Brazil (HSBC, 2009)</w:t>
      </w:r>
    </w:p>
    <w:p w:rsidR="00454499" w:rsidRPr="004D4C6E" w:rsidRDefault="00340C1A" w:rsidP="00E926EF">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HSBC has a proven track record in the international market which will allow for the desired coverage the MNE is seeking in Asia and in South America.</w:t>
      </w:r>
      <w:r w:rsidR="00043132" w:rsidRPr="004D4C6E">
        <w:rPr>
          <w:rFonts w:ascii="Times New Roman" w:hAnsi="Times New Roman" w:cs="Times New Roman"/>
          <w:sz w:val="24"/>
          <w:szCs w:val="24"/>
        </w:rPr>
        <w:t xml:space="preserve"> In their banking offerings they include: services associated to cash management, forward market services, short and long term investments, foreign exchange services and all of the basic local currency services. In addition to these services HSBC also provides a comprehensive consulting service and assistance, as well as research resources on all of the above mentioned areas. According to their website, HSBC also offers a wide variety of treasury options, receivables, payables, liquidity as well as the capability of handling receivables in foreign and domestic currencies (HSBC, 2009). </w:t>
      </w:r>
      <w:r w:rsidR="00454499" w:rsidRPr="004D4C6E">
        <w:rPr>
          <w:rFonts w:ascii="Times New Roman" w:hAnsi="Times New Roman" w:cs="Times New Roman"/>
          <w:sz w:val="24"/>
          <w:szCs w:val="24"/>
        </w:rPr>
        <w:t xml:space="preserve">The author gets the sense that HSBC wants to be a business partner and not just </w:t>
      </w:r>
      <w:r w:rsidR="00E770C5">
        <w:rPr>
          <w:rFonts w:ascii="Times New Roman" w:hAnsi="Times New Roman" w:cs="Times New Roman"/>
          <w:sz w:val="24"/>
          <w:szCs w:val="24"/>
        </w:rPr>
        <w:t xml:space="preserve">a </w:t>
      </w:r>
      <w:r w:rsidR="00454499" w:rsidRPr="004D4C6E">
        <w:rPr>
          <w:rFonts w:ascii="Times New Roman" w:hAnsi="Times New Roman" w:cs="Times New Roman"/>
          <w:sz w:val="24"/>
          <w:szCs w:val="24"/>
        </w:rPr>
        <w:t xml:space="preserve">bank! </w:t>
      </w:r>
    </w:p>
    <w:p w:rsidR="0037560F" w:rsidRPr="004D4C6E" w:rsidRDefault="00043132" w:rsidP="004D4C6E">
      <w:pPr>
        <w:spacing w:line="480" w:lineRule="auto"/>
        <w:ind w:firstLine="720"/>
        <w:rPr>
          <w:rFonts w:ascii="Times New Roman" w:hAnsi="Times New Roman" w:cs="Times New Roman"/>
          <w:sz w:val="24"/>
          <w:szCs w:val="24"/>
        </w:rPr>
      </w:pPr>
      <w:r w:rsidRPr="004D4C6E">
        <w:rPr>
          <w:rFonts w:ascii="Times New Roman" w:hAnsi="Times New Roman" w:cs="Times New Roman"/>
          <w:sz w:val="24"/>
          <w:szCs w:val="24"/>
        </w:rPr>
        <w:t>It is important to note that HSBC was one of the very few financial institutions that did not take</w:t>
      </w:r>
      <w:r w:rsidR="0037560F" w:rsidRPr="004D4C6E">
        <w:rPr>
          <w:rFonts w:ascii="Times New Roman" w:hAnsi="Times New Roman" w:cs="Times New Roman"/>
          <w:sz w:val="24"/>
          <w:szCs w:val="24"/>
        </w:rPr>
        <w:t xml:space="preserve"> financial</w:t>
      </w:r>
      <w:r w:rsidRPr="004D4C6E">
        <w:rPr>
          <w:rFonts w:ascii="Times New Roman" w:hAnsi="Times New Roman" w:cs="Times New Roman"/>
          <w:sz w:val="24"/>
          <w:szCs w:val="24"/>
        </w:rPr>
        <w:t xml:space="preserve"> assistance from the treasury</w:t>
      </w:r>
      <w:r w:rsidR="0037560F" w:rsidRPr="004D4C6E">
        <w:rPr>
          <w:rFonts w:ascii="Times New Roman" w:hAnsi="Times New Roman" w:cs="Times New Roman"/>
          <w:sz w:val="24"/>
          <w:szCs w:val="24"/>
        </w:rPr>
        <w:t>,</w:t>
      </w:r>
      <w:r w:rsidRPr="004D4C6E">
        <w:rPr>
          <w:rFonts w:ascii="Times New Roman" w:hAnsi="Times New Roman" w:cs="Times New Roman"/>
          <w:sz w:val="24"/>
          <w:szCs w:val="24"/>
        </w:rPr>
        <w:t xml:space="preserve"> during these tough economic times (Coates, 2008)</w:t>
      </w:r>
      <w:r w:rsidR="0037560F" w:rsidRPr="004D4C6E">
        <w:rPr>
          <w:rFonts w:ascii="Times New Roman" w:hAnsi="Times New Roman" w:cs="Times New Roman"/>
          <w:sz w:val="24"/>
          <w:szCs w:val="24"/>
        </w:rPr>
        <w:t>. On contrast, The Bank of America was bailed out with an excess of $45 billion dollar</w:t>
      </w:r>
      <w:r w:rsidR="00663DD1">
        <w:rPr>
          <w:rFonts w:ascii="Times New Roman" w:hAnsi="Times New Roman" w:cs="Times New Roman"/>
          <w:sz w:val="24"/>
          <w:szCs w:val="24"/>
        </w:rPr>
        <w:t>s</w:t>
      </w:r>
      <w:r w:rsidR="0037560F" w:rsidRPr="004D4C6E">
        <w:rPr>
          <w:rFonts w:ascii="Times New Roman" w:hAnsi="Times New Roman" w:cs="Times New Roman"/>
          <w:sz w:val="24"/>
          <w:szCs w:val="24"/>
        </w:rPr>
        <w:t xml:space="preserve"> in aid and $118 billion in guarantees against bad assets. </w:t>
      </w:r>
      <w:r w:rsidR="00663DD1">
        <w:rPr>
          <w:rFonts w:ascii="Times New Roman" w:hAnsi="Times New Roman" w:cs="Times New Roman"/>
          <w:sz w:val="24"/>
          <w:szCs w:val="24"/>
        </w:rPr>
        <w:t xml:space="preserve">Compared to Citibank, which </w:t>
      </w:r>
      <w:r w:rsidR="0037560F" w:rsidRPr="004D4C6E">
        <w:rPr>
          <w:rFonts w:ascii="Times New Roman" w:hAnsi="Times New Roman" w:cs="Times New Roman"/>
          <w:sz w:val="24"/>
          <w:szCs w:val="24"/>
        </w:rPr>
        <w:t>was also bailed out with over $45 billion of dollars, as well (Bank of America bail-out agreed, 2009).</w:t>
      </w:r>
    </w:p>
    <w:p w:rsidR="007909B6" w:rsidRPr="004D4C6E" w:rsidRDefault="007909B6">
      <w:pPr>
        <w:rPr>
          <w:rFonts w:ascii="Times New Roman" w:hAnsi="Times New Roman" w:cs="Times New Roman"/>
          <w:sz w:val="24"/>
          <w:szCs w:val="24"/>
        </w:rPr>
      </w:pPr>
    </w:p>
    <w:p w:rsidR="007909B6" w:rsidRPr="004D4C6E" w:rsidRDefault="007909B6" w:rsidP="004D4C6E">
      <w:pPr>
        <w:spacing w:line="480" w:lineRule="auto"/>
        <w:rPr>
          <w:rFonts w:ascii="Times New Roman" w:hAnsi="Times New Roman" w:cs="Times New Roman"/>
          <w:sz w:val="24"/>
          <w:szCs w:val="24"/>
        </w:rPr>
      </w:pPr>
      <w:r w:rsidRPr="004D4C6E">
        <w:rPr>
          <w:rFonts w:ascii="Times New Roman" w:hAnsi="Times New Roman" w:cs="Times New Roman"/>
          <w:b/>
          <w:sz w:val="24"/>
          <w:szCs w:val="24"/>
          <w:u w:val="single"/>
        </w:rPr>
        <w:t>Conclusion:</w:t>
      </w:r>
      <w:r w:rsidRPr="004D4C6E">
        <w:rPr>
          <w:rFonts w:ascii="Times New Roman" w:hAnsi="Times New Roman" w:cs="Times New Roman"/>
          <w:sz w:val="24"/>
          <w:szCs w:val="24"/>
        </w:rPr>
        <w:t xml:space="preserve"> HSBC is the logical choice</w:t>
      </w:r>
      <w:r w:rsidR="00454499" w:rsidRPr="004D4C6E">
        <w:rPr>
          <w:rFonts w:ascii="Times New Roman" w:hAnsi="Times New Roman" w:cs="Times New Roman"/>
          <w:sz w:val="24"/>
          <w:szCs w:val="24"/>
        </w:rPr>
        <w:t xml:space="preserve">. All </w:t>
      </w:r>
      <w:r w:rsidR="00663DD1">
        <w:rPr>
          <w:rFonts w:ascii="Times New Roman" w:hAnsi="Times New Roman" w:cs="Times New Roman"/>
          <w:sz w:val="24"/>
          <w:szCs w:val="24"/>
        </w:rPr>
        <w:t xml:space="preserve">of </w:t>
      </w:r>
      <w:r w:rsidR="00454499" w:rsidRPr="004D4C6E">
        <w:rPr>
          <w:rFonts w:ascii="Times New Roman" w:hAnsi="Times New Roman" w:cs="Times New Roman"/>
          <w:sz w:val="24"/>
          <w:szCs w:val="24"/>
        </w:rPr>
        <w:t xml:space="preserve">the reasons mentioned (above) make HSBC the bank selected to partner with the MNE. </w:t>
      </w:r>
    </w:p>
    <w:p w:rsidR="0037560F" w:rsidRPr="004D4C6E" w:rsidRDefault="0037560F">
      <w:pPr>
        <w:rPr>
          <w:rFonts w:ascii="Times New Roman" w:hAnsi="Times New Roman" w:cs="Times New Roman"/>
          <w:sz w:val="24"/>
          <w:szCs w:val="24"/>
        </w:rPr>
      </w:pPr>
      <w:r w:rsidRPr="004D4C6E">
        <w:rPr>
          <w:rFonts w:ascii="Times New Roman" w:hAnsi="Times New Roman" w:cs="Times New Roman"/>
          <w:sz w:val="24"/>
          <w:szCs w:val="24"/>
        </w:rPr>
        <w:t xml:space="preserve">The table </w:t>
      </w:r>
      <w:r w:rsidR="00454499" w:rsidRPr="004D4C6E">
        <w:rPr>
          <w:rFonts w:ascii="Times New Roman" w:hAnsi="Times New Roman" w:cs="Times New Roman"/>
          <w:sz w:val="24"/>
          <w:szCs w:val="24"/>
        </w:rPr>
        <w:t>below</w:t>
      </w:r>
      <w:r w:rsidRPr="004D4C6E">
        <w:rPr>
          <w:rFonts w:ascii="Times New Roman" w:hAnsi="Times New Roman" w:cs="Times New Roman"/>
          <w:sz w:val="24"/>
          <w:szCs w:val="24"/>
        </w:rPr>
        <w:t xml:space="preserve"> gives the reader a visual representation of the factors considered</w:t>
      </w:r>
      <w:r w:rsidR="00454499" w:rsidRPr="004D4C6E">
        <w:rPr>
          <w:rFonts w:ascii="Times New Roman" w:hAnsi="Times New Roman" w:cs="Times New Roman"/>
          <w:sz w:val="24"/>
          <w:szCs w:val="24"/>
        </w:rPr>
        <w:t xml:space="preserve"> by the MNE</w:t>
      </w:r>
      <w:r w:rsidRPr="004D4C6E">
        <w:rPr>
          <w:rFonts w:ascii="Times New Roman" w:hAnsi="Times New Roman" w:cs="Times New Roman"/>
          <w:sz w:val="24"/>
          <w:szCs w:val="24"/>
        </w:rPr>
        <w:t xml:space="preserve"> and how </w:t>
      </w:r>
      <w:r w:rsidR="00454499" w:rsidRPr="004D4C6E">
        <w:rPr>
          <w:rFonts w:ascii="Times New Roman" w:hAnsi="Times New Roman" w:cs="Times New Roman"/>
          <w:sz w:val="24"/>
          <w:szCs w:val="24"/>
        </w:rPr>
        <w:t>the different financial institutions</w:t>
      </w:r>
      <w:r w:rsidR="00477003" w:rsidRPr="004D4C6E">
        <w:rPr>
          <w:rFonts w:ascii="Times New Roman" w:hAnsi="Times New Roman" w:cs="Times New Roman"/>
          <w:sz w:val="24"/>
          <w:szCs w:val="24"/>
        </w:rPr>
        <w:t xml:space="preserve"> </w:t>
      </w:r>
      <w:r w:rsidRPr="004D4C6E">
        <w:rPr>
          <w:rFonts w:ascii="Times New Roman" w:hAnsi="Times New Roman" w:cs="Times New Roman"/>
          <w:sz w:val="24"/>
          <w:szCs w:val="24"/>
        </w:rPr>
        <w:t>rated.</w:t>
      </w:r>
    </w:p>
    <w:p w:rsidR="007909B6" w:rsidRPr="004D4C6E" w:rsidRDefault="007909B6">
      <w:pPr>
        <w:rPr>
          <w:rFonts w:ascii="Times New Roman" w:hAnsi="Times New Roman" w:cs="Times New Roman"/>
          <w:sz w:val="24"/>
          <w:szCs w:val="24"/>
        </w:rPr>
      </w:pPr>
    </w:p>
    <w:p w:rsidR="007909B6" w:rsidRPr="002D3871" w:rsidRDefault="007909B6" w:rsidP="007909B6">
      <w:pPr>
        <w:tabs>
          <w:tab w:val="left" w:pos="90"/>
        </w:tabs>
        <w:spacing w:line="480" w:lineRule="auto"/>
        <w:ind w:right="-540" w:firstLine="720"/>
        <w:rPr>
          <w:rFonts w:ascii="Times New Roman" w:hAnsi="Times New Roman" w:cs="Times New Roman"/>
          <w:sz w:val="24"/>
          <w:szCs w:val="24"/>
        </w:rPr>
      </w:pPr>
    </w:p>
    <w:tbl>
      <w:tblPr>
        <w:tblW w:w="8042" w:type="dxa"/>
        <w:tblInd w:w="93" w:type="dxa"/>
        <w:tblLook w:val="04A0"/>
      </w:tblPr>
      <w:tblGrid>
        <w:gridCol w:w="1440"/>
        <w:gridCol w:w="1210"/>
        <w:gridCol w:w="960"/>
        <w:gridCol w:w="1237"/>
        <w:gridCol w:w="1002"/>
        <w:gridCol w:w="960"/>
        <w:gridCol w:w="1233"/>
      </w:tblGrid>
      <w:tr w:rsidR="007909B6" w:rsidRPr="007909B6" w:rsidTr="007909B6">
        <w:trPr>
          <w:trHeight w:val="1530"/>
        </w:trPr>
        <w:tc>
          <w:tcPr>
            <w:tcW w:w="14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lastRenderedPageBreak/>
              <w:t>BANK</w:t>
            </w:r>
          </w:p>
        </w:tc>
        <w:tc>
          <w:tcPr>
            <w:tcW w:w="1210"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Subsidiaries in SA and Asia</w:t>
            </w: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Local Lending Source</w:t>
            </w:r>
          </w:p>
        </w:tc>
        <w:tc>
          <w:tcPr>
            <w:tcW w:w="1237"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Offers short term investments</w:t>
            </w:r>
          </w:p>
        </w:tc>
        <w:tc>
          <w:tcPr>
            <w:tcW w:w="1002"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Foreign exchange and Forward market services</w:t>
            </w: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Pays bills in local and foreign currency</w:t>
            </w:r>
          </w:p>
        </w:tc>
        <w:tc>
          <w:tcPr>
            <w:tcW w:w="1233" w:type="dxa"/>
            <w:tcBorders>
              <w:top w:val="single" w:sz="4" w:space="0" w:color="auto"/>
              <w:left w:val="nil"/>
              <w:bottom w:val="single" w:sz="4" w:space="0" w:color="auto"/>
              <w:right w:val="single" w:sz="4" w:space="0" w:color="auto"/>
            </w:tcBorders>
            <w:shd w:val="clear" w:color="000000" w:fill="DBE5F1"/>
            <w:vAlign w:val="center"/>
            <w:hideMark/>
          </w:tcPr>
          <w:p w:rsidR="007909B6" w:rsidRPr="007909B6" w:rsidRDefault="007909B6" w:rsidP="00BF2D9D">
            <w:pPr>
              <w:spacing w:after="0" w:line="240" w:lineRule="auto"/>
              <w:jc w:val="center"/>
              <w:rPr>
                <w:rFonts w:ascii="Calibri" w:eastAsia="Times New Roman" w:hAnsi="Calibri" w:cs="Times New Roman"/>
                <w:b/>
                <w:bCs/>
                <w:color w:val="C00000"/>
                <w:sz w:val="20"/>
                <w:szCs w:val="20"/>
              </w:rPr>
            </w:pPr>
            <w:r w:rsidRPr="007909B6">
              <w:rPr>
                <w:rFonts w:ascii="Calibri" w:eastAsia="Times New Roman" w:hAnsi="Calibri" w:cs="Times New Roman"/>
                <w:b/>
                <w:bCs/>
                <w:color w:val="C00000"/>
                <w:sz w:val="20"/>
                <w:szCs w:val="20"/>
              </w:rPr>
              <w:t>Was bailed out by government</w:t>
            </w:r>
          </w:p>
        </w:tc>
      </w:tr>
      <w:tr w:rsidR="007909B6" w:rsidRPr="007909B6" w:rsidTr="007909B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Bank of America</w:t>
            </w:r>
          </w:p>
        </w:tc>
        <w:tc>
          <w:tcPr>
            <w:tcW w:w="121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7909B6">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worse</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no</w:t>
            </w:r>
          </w:p>
        </w:tc>
        <w:tc>
          <w:tcPr>
            <w:tcW w:w="1237"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yes</w:t>
            </w:r>
          </w:p>
        </w:tc>
        <w:tc>
          <w:tcPr>
            <w:tcW w:w="1002"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yes</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yes</w:t>
            </w:r>
          </w:p>
        </w:tc>
        <w:tc>
          <w:tcPr>
            <w:tcW w:w="1233"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002060"/>
                <w:sz w:val="20"/>
                <w:szCs w:val="20"/>
              </w:rPr>
            </w:pPr>
            <w:r w:rsidRPr="007909B6">
              <w:rPr>
                <w:rFonts w:ascii="Calibri" w:eastAsia="Times New Roman" w:hAnsi="Calibri" w:cs="Times New Roman"/>
                <w:color w:val="002060"/>
                <w:sz w:val="20"/>
                <w:szCs w:val="20"/>
              </w:rPr>
              <w:t>yes - $45B</w:t>
            </w:r>
          </w:p>
        </w:tc>
      </w:tr>
      <w:tr w:rsidR="007909B6" w:rsidRPr="007909B6" w:rsidTr="007909B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Citibank</w:t>
            </w:r>
          </w:p>
        </w:tc>
        <w:tc>
          <w:tcPr>
            <w:tcW w:w="121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excellent</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yes</w:t>
            </w:r>
          </w:p>
        </w:tc>
        <w:tc>
          <w:tcPr>
            <w:tcW w:w="1237"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yes</w:t>
            </w:r>
          </w:p>
        </w:tc>
        <w:tc>
          <w:tcPr>
            <w:tcW w:w="1002"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yes</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yes</w:t>
            </w:r>
          </w:p>
        </w:tc>
        <w:tc>
          <w:tcPr>
            <w:tcW w:w="1233"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984806" w:themeColor="accent6" w:themeShade="80"/>
                <w:sz w:val="20"/>
                <w:szCs w:val="20"/>
              </w:rPr>
            </w:pPr>
            <w:r w:rsidRPr="007909B6">
              <w:rPr>
                <w:rFonts w:ascii="Calibri" w:eastAsia="Times New Roman" w:hAnsi="Calibri" w:cs="Times New Roman"/>
                <w:color w:val="984806" w:themeColor="accent6" w:themeShade="80"/>
                <w:sz w:val="20"/>
                <w:szCs w:val="20"/>
              </w:rPr>
              <w:t>yes - $45B</w:t>
            </w:r>
          </w:p>
        </w:tc>
      </w:tr>
      <w:tr w:rsidR="007909B6" w:rsidRPr="007909B6" w:rsidTr="007909B6">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HSBC</w:t>
            </w:r>
          </w:p>
        </w:tc>
        <w:tc>
          <w:tcPr>
            <w:tcW w:w="121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good</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yes</w:t>
            </w:r>
          </w:p>
        </w:tc>
        <w:tc>
          <w:tcPr>
            <w:tcW w:w="1237"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yes</w:t>
            </w:r>
          </w:p>
        </w:tc>
        <w:tc>
          <w:tcPr>
            <w:tcW w:w="1002"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yes</w:t>
            </w:r>
          </w:p>
        </w:tc>
        <w:tc>
          <w:tcPr>
            <w:tcW w:w="960"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yes</w:t>
            </w:r>
          </w:p>
        </w:tc>
        <w:tc>
          <w:tcPr>
            <w:tcW w:w="1233" w:type="dxa"/>
            <w:tcBorders>
              <w:top w:val="nil"/>
              <w:left w:val="nil"/>
              <w:bottom w:val="single" w:sz="4" w:space="0" w:color="auto"/>
              <w:right w:val="single" w:sz="4" w:space="0" w:color="auto"/>
            </w:tcBorders>
            <w:shd w:val="clear" w:color="auto" w:fill="auto"/>
            <w:noWrap/>
            <w:vAlign w:val="bottom"/>
            <w:hideMark/>
          </w:tcPr>
          <w:p w:rsidR="007909B6" w:rsidRPr="007909B6" w:rsidRDefault="007909B6" w:rsidP="00BF2D9D">
            <w:pPr>
              <w:spacing w:after="0" w:line="240" w:lineRule="auto"/>
              <w:jc w:val="center"/>
              <w:rPr>
                <w:rFonts w:ascii="Calibri" w:eastAsia="Times New Roman" w:hAnsi="Calibri" w:cs="Times New Roman"/>
                <w:color w:val="4F6228" w:themeColor="accent3" w:themeShade="80"/>
                <w:sz w:val="20"/>
                <w:szCs w:val="20"/>
              </w:rPr>
            </w:pPr>
            <w:r w:rsidRPr="007909B6">
              <w:rPr>
                <w:rFonts w:ascii="Calibri" w:eastAsia="Times New Roman" w:hAnsi="Calibri" w:cs="Times New Roman"/>
                <w:color w:val="4F6228" w:themeColor="accent3" w:themeShade="80"/>
                <w:sz w:val="20"/>
                <w:szCs w:val="20"/>
              </w:rPr>
              <w:t>no</w:t>
            </w:r>
          </w:p>
        </w:tc>
      </w:tr>
    </w:tbl>
    <w:p w:rsidR="007909B6" w:rsidRDefault="007909B6" w:rsidP="007909B6"/>
    <w:p w:rsidR="007909B6" w:rsidRDefault="007909B6"/>
    <w:p w:rsidR="00477003" w:rsidRDefault="00477003"/>
    <w:p w:rsidR="00477003" w:rsidRPr="00663DD1" w:rsidRDefault="00477003" w:rsidP="004D4C6E">
      <w:pPr>
        <w:jc w:val="center"/>
        <w:rPr>
          <w:rFonts w:ascii="Times New Roman" w:hAnsi="Times New Roman" w:cs="Times New Roman"/>
          <w:sz w:val="24"/>
          <w:szCs w:val="24"/>
        </w:rPr>
      </w:pPr>
      <w:r w:rsidRPr="00663DD1">
        <w:rPr>
          <w:rFonts w:ascii="Times New Roman" w:hAnsi="Times New Roman" w:cs="Times New Roman"/>
          <w:sz w:val="24"/>
          <w:szCs w:val="24"/>
        </w:rPr>
        <w:t>References</w:t>
      </w:r>
    </w:p>
    <w:p w:rsidR="00477003" w:rsidRDefault="00477003"/>
    <w:p w:rsidR="00477003" w:rsidRDefault="00B70704">
      <w:r w:rsidRPr="001F4D54">
        <w:rPr>
          <w:rFonts w:ascii="Times New Roman" w:hAnsi="Times New Roman" w:cs="Times New Roman"/>
          <w:sz w:val="24"/>
          <w:szCs w:val="24"/>
        </w:rPr>
        <w:t xml:space="preserve">Bank of America bail- out agreed (2009) Story from BBC NEWS: Published: 2009/01/16 13:02:38 GMT Retrieved </w:t>
      </w:r>
      <w:r>
        <w:rPr>
          <w:rFonts w:ascii="Times New Roman" w:hAnsi="Times New Roman" w:cs="Times New Roman"/>
          <w:sz w:val="24"/>
          <w:szCs w:val="24"/>
        </w:rPr>
        <w:t>May 22, 2011</w:t>
      </w:r>
      <w:r w:rsidRPr="001F4D54">
        <w:rPr>
          <w:rFonts w:ascii="Times New Roman" w:hAnsi="Times New Roman" w:cs="Times New Roman"/>
          <w:sz w:val="24"/>
          <w:szCs w:val="24"/>
        </w:rPr>
        <w:t xml:space="preserve"> from </w:t>
      </w:r>
      <w:hyperlink r:id="rId4" w:history="1">
        <w:r w:rsidRPr="001F4D54">
          <w:rPr>
            <w:rStyle w:val="Hyperlink"/>
            <w:rFonts w:ascii="Times New Roman" w:hAnsi="Times New Roman" w:cs="Times New Roman"/>
            <w:sz w:val="24"/>
            <w:szCs w:val="24"/>
          </w:rPr>
          <w:t>http://news.bbc.co.uk/go/pr/fr/-/2/hi/business/7832484.stm</w:t>
        </w:r>
      </w:hyperlink>
    </w:p>
    <w:p w:rsidR="00E926EF" w:rsidRDefault="00E926EF" w:rsidP="00E926EF">
      <w:pPr>
        <w:spacing w:before="100" w:beforeAutospacing="1" w:after="100" w:afterAutospacing="1" w:line="240" w:lineRule="auto"/>
        <w:outlineLvl w:val="1"/>
        <w:rPr>
          <w:rFonts w:ascii="Times New Roman" w:hAnsi="Times New Roman" w:cs="Times New Roman"/>
          <w:sz w:val="24"/>
          <w:szCs w:val="24"/>
          <w:bdr w:val="none" w:sz="0" w:space="0" w:color="auto" w:frame="1"/>
        </w:rPr>
      </w:pPr>
      <w:proofErr w:type="gramStart"/>
      <w:r w:rsidRPr="001F4D54">
        <w:rPr>
          <w:rFonts w:ascii="Times New Roman" w:hAnsi="Times New Roman" w:cs="Times New Roman"/>
          <w:sz w:val="24"/>
          <w:szCs w:val="24"/>
          <w:bdr w:val="none" w:sz="0" w:space="0" w:color="auto" w:frame="1"/>
        </w:rPr>
        <w:t>Citibank.</w:t>
      </w:r>
      <w:proofErr w:type="gramEnd"/>
      <w:r w:rsidRPr="001F4D54">
        <w:rPr>
          <w:rFonts w:ascii="Times New Roman" w:hAnsi="Times New Roman" w:cs="Times New Roman"/>
          <w:sz w:val="24"/>
          <w:szCs w:val="24"/>
          <w:bdr w:val="none" w:sz="0" w:space="0" w:color="auto" w:frame="1"/>
        </w:rPr>
        <w:t xml:space="preserve"> </w:t>
      </w:r>
      <w:proofErr w:type="gramStart"/>
      <w:r w:rsidRPr="001F4D54">
        <w:rPr>
          <w:rFonts w:ascii="Times New Roman" w:hAnsi="Times New Roman" w:cs="Times New Roman"/>
          <w:sz w:val="24"/>
          <w:szCs w:val="24"/>
          <w:bdr w:val="none" w:sz="0" w:space="0" w:color="auto" w:frame="1"/>
        </w:rPr>
        <w:t>(2009). Home page.</w:t>
      </w:r>
      <w:proofErr w:type="gramEnd"/>
      <w:r w:rsidRPr="001F4D54">
        <w:rPr>
          <w:rFonts w:ascii="Times New Roman" w:hAnsi="Times New Roman" w:cs="Times New Roman"/>
          <w:sz w:val="24"/>
          <w:szCs w:val="24"/>
          <w:bdr w:val="none" w:sz="0" w:space="0" w:color="auto" w:frame="1"/>
        </w:rPr>
        <w:t xml:space="preserve"> Retrieved </w:t>
      </w:r>
      <w:r>
        <w:rPr>
          <w:rFonts w:ascii="Times New Roman" w:hAnsi="Times New Roman" w:cs="Times New Roman"/>
          <w:sz w:val="24"/>
          <w:szCs w:val="24"/>
          <w:bdr w:val="none" w:sz="0" w:space="0" w:color="auto" w:frame="1"/>
        </w:rPr>
        <w:t>May 22, 2011</w:t>
      </w:r>
      <w:r w:rsidRPr="001F4D54">
        <w:rPr>
          <w:rFonts w:ascii="Times New Roman" w:hAnsi="Times New Roman" w:cs="Times New Roman"/>
          <w:sz w:val="24"/>
          <w:szCs w:val="24"/>
          <w:bdr w:val="none" w:sz="0" w:space="0" w:color="auto" w:frame="1"/>
        </w:rPr>
        <w:t xml:space="preserve">, from </w:t>
      </w:r>
      <w:hyperlink r:id="rId5" w:history="1">
        <w:r w:rsidR="00C3531F" w:rsidRPr="00F23D01">
          <w:rPr>
            <w:rStyle w:val="Hyperlink"/>
            <w:rFonts w:ascii="Times New Roman" w:hAnsi="Times New Roman" w:cs="Times New Roman"/>
            <w:sz w:val="24"/>
            <w:szCs w:val="24"/>
            <w:bdr w:val="none" w:sz="0" w:space="0" w:color="auto" w:frame="1"/>
          </w:rPr>
          <w:t>http://www.citi.com/domain/home.htm</w:t>
        </w:r>
      </w:hyperlink>
    </w:p>
    <w:p w:rsidR="00C3531F" w:rsidRPr="001F4D54" w:rsidRDefault="00C3531F" w:rsidP="00C3531F">
      <w:pPr>
        <w:spacing w:before="100" w:beforeAutospacing="1" w:after="100" w:afterAutospacing="1" w:line="240" w:lineRule="auto"/>
        <w:outlineLvl w:val="0"/>
        <w:rPr>
          <w:rFonts w:ascii="Times New Roman" w:eastAsia="Times New Roman" w:hAnsi="Times New Roman" w:cs="Times New Roman"/>
          <w:bCs/>
          <w:sz w:val="24"/>
          <w:szCs w:val="24"/>
        </w:rPr>
      </w:pPr>
      <w:r w:rsidRPr="001F4D54">
        <w:rPr>
          <w:rFonts w:ascii="Times New Roman" w:eastAsia="Times New Roman" w:hAnsi="Times New Roman" w:cs="Times New Roman"/>
          <w:bCs/>
          <w:kern w:val="36"/>
          <w:sz w:val="24"/>
          <w:szCs w:val="24"/>
        </w:rPr>
        <w:t xml:space="preserve">Coats, S (2008) HSBC will not pass on Bank's rate cut. </w:t>
      </w:r>
      <w:r w:rsidRPr="001F4D54">
        <w:rPr>
          <w:rFonts w:ascii="Times New Roman" w:eastAsia="Times New Roman" w:hAnsi="Times New Roman" w:cs="Times New Roman"/>
          <w:bCs/>
          <w:sz w:val="24"/>
          <w:szCs w:val="24"/>
        </w:rPr>
        <w:t xml:space="preserve">Snub for Prime Minister during tour of Gulf. </w:t>
      </w:r>
      <w:proofErr w:type="gramStart"/>
      <w:r w:rsidRPr="001F4D54">
        <w:rPr>
          <w:rFonts w:ascii="Times New Roman" w:eastAsia="Times New Roman" w:hAnsi="Times New Roman" w:cs="Times New Roman"/>
          <w:bCs/>
          <w:sz w:val="24"/>
          <w:szCs w:val="24"/>
        </w:rPr>
        <w:t>Times Online.</w:t>
      </w:r>
      <w:proofErr w:type="gramEnd"/>
      <w:r w:rsidRPr="001F4D54">
        <w:rPr>
          <w:rFonts w:ascii="Times New Roman" w:eastAsia="Times New Roman" w:hAnsi="Times New Roman" w:cs="Times New Roman"/>
          <w:bCs/>
          <w:sz w:val="24"/>
          <w:szCs w:val="24"/>
        </w:rPr>
        <w:t xml:space="preserve"> November 4, 2008 Retrieved </w:t>
      </w:r>
      <w:r>
        <w:rPr>
          <w:rFonts w:ascii="Times New Roman" w:eastAsia="Times New Roman" w:hAnsi="Times New Roman" w:cs="Times New Roman"/>
          <w:bCs/>
          <w:sz w:val="24"/>
          <w:szCs w:val="24"/>
        </w:rPr>
        <w:t>May 22, 2011</w:t>
      </w:r>
      <w:r w:rsidRPr="001F4D54">
        <w:rPr>
          <w:rFonts w:ascii="Times New Roman" w:eastAsia="Times New Roman" w:hAnsi="Times New Roman" w:cs="Times New Roman"/>
          <w:bCs/>
          <w:sz w:val="24"/>
          <w:szCs w:val="24"/>
        </w:rPr>
        <w:t xml:space="preserve"> from:</w:t>
      </w:r>
      <w:r w:rsidRPr="001F4D54">
        <w:rPr>
          <w:rFonts w:ascii="Times New Roman" w:hAnsi="Times New Roman" w:cs="Times New Roman"/>
          <w:sz w:val="24"/>
          <w:szCs w:val="24"/>
        </w:rPr>
        <w:t xml:space="preserve"> </w:t>
      </w:r>
      <w:hyperlink r:id="rId6" w:history="1">
        <w:r w:rsidRPr="001F4D54">
          <w:rPr>
            <w:rStyle w:val="Hyperlink"/>
            <w:rFonts w:ascii="Times New Roman" w:eastAsia="Times New Roman" w:hAnsi="Times New Roman" w:cs="Times New Roman"/>
            <w:bCs/>
            <w:sz w:val="24"/>
            <w:szCs w:val="24"/>
          </w:rPr>
          <w:t>http://www.timesonline.co.uk/tol/money/property_and_mortgages/article5076547.ece</w:t>
        </w:r>
      </w:hyperlink>
    </w:p>
    <w:p w:rsidR="00E926EF" w:rsidRDefault="00E926EF" w:rsidP="00E926EF">
      <w:pPr>
        <w:pStyle w:val="NormalWeb"/>
      </w:pPr>
      <w:proofErr w:type="gramStart"/>
      <w:r w:rsidRPr="001F4D54">
        <w:rPr>
          <w:bdr w:val="none" w:sz="0" w:space="0" w:color="auto" w:frame="1"/>
        </w:rPr>
        <w:t>HSBC (2009).</w:t>
      </w:r>
      <w:proofErr w:type="gramEnd"/>
      <w:r w:rsidRPr="001F4D54">
        <w:rPr>
          <w:bdr w:val="none" w:sz="0" w:space="0" w:color="auto" w:frame="1"/>
        </w:rPr>
        <w:t xml:space="preserve"> </w:t>
      </w:r>
      <w:proofErr w:type="gramStart"/>
      <w:r w:rsidRPr="001F4D54">
        <w:rPr>
          <w:bdr w:val="none" w:sz="0" w:space="0" w:color="auto" w:frame="1"/>
        </w:rPr>
        <w:t>Global Banking.</w:t>
      </w:r>
      <w:proofErr w:type="gramEnd"/>
      <w:r w:rsidRPr="001F4D54">
        <w:rPr>
          <w:bdr w:val="none" w:sz="0" w:space="0" w:color="auto" w:frame="1"/>
        </w:rPr>
        <w:t xml:space="preserve"> Retrieved </w:t>
      </w:r>
      <w:r>
        <w:rPr>
          <w:bdr w:val="none" w:sz="0" w:space="0" w:color="auto" w:frame="1"/>
        </w:rPr>
        <w:t>May 22, 2011</w:t>
      </w:r>
      <w:r w:rsidRPr="001F4D54">
        <w:rPr>
          <w:bdr w:val="none" w:sz="0" w:space="0" w:color="auto" w:frame="1"/>
        </w:rPr>
        <w:t xml:space="preserve">, from </w:t>
      </w:r>
      <w:hyperlink r:id="rId7" w:history="1">
        <w:r w:rsidRPr="001F4D54">
          <w:rPr>
            <w:u w:val="single"/>
            <w:bdr w:val="none" w:sz="0" w:space="0" w:color="auto" w:frame="1"/>
          </w:rPr>
          <w:t>http://www.hsbcnet.com/investment</w:t>
        </w:r>
      </w:hyperlink>
    </w:p>
    <w:p w:rsidR="00C3531F" w:rsidRPr="001F4D54" w:rsidRDefault="00C3531F" w:rsidP="00E926EF">
      <w:pPr>
        <w:pStyle w:val="NormalWeb"/>
        <w:rPr>
          <w:bdr w:val="none" w:sz="0" w:space="0" w:color="auto" w:frame="1"/>
        </w:rPr>
      </w:pPr>
    </w:p>
    <w:p w:rsidR="00B70704" w:rsidRDefault="00B70704"/>
    <w:sectPr w:rsidR="00B70704" w:rsidSect="00897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3BE"/>
    <w:rsid w:val="00043132"/>
    <w:rsid w:val="00071B2B"/>
    <w:rsid w:val="001F4A79"/>
    <w:rsid w:val="00340C1A"/>
    <w:rsid w:val="003653BE"/>
    <w:rsid w:val="0037560F"/>
    <w:rsid w:val="00454499"/>
    <w:rsid w:val="00477003"/>
    <w:rsid w:val="004D4C6E"/>
    <w:rsid w:val="00663DD1"/>
    <w:rsid w:val="00767815"/>
    <w:rsid w:val="007909B6"/>
    <w:rsid w:val="00846F96"/>
    <w:rsid w:val="0089761F"/>
    <w:rsid w:val="009A09FC"/>
    <w:rsid w:val="00A8521F"/>
    <w:rsid w:val="00B70704"/>
    <w:rsid w:val="00C05573"/>
    <w:rsid w:val="00C3531F"/>
    <w:rsid w:val="00D93D53"/>
    <w:rsid w:val="00E770C5"/>
    <w:rsid w:val="00E926EF"/>
    <w:rsid w:val="00F423D2"/>
    <w:rsid w:val="00F92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704"/>
    <w:rPr>
      <w:color w:val="0000FF" w:themeColor="hyperlink"/>
      <w:u w:val="single"/>
    </w:rPr>
  </w:style>
  <w:style w:type="paragraph" w:styleId="NormalWeb">
    <w:name w:val="Normal (Web)"/>
    <w:basedOn w:val="Normal"/>
    <w:uiPriority w:val="99"/>
    <w:unhideWhenUsed/>
    <w:rsid w:val="00E926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bcnet.com/invest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nline.co.uk/tol/money/property_and_mortgages/article5076547.ece" TargetMode="External"/><Relationship Id="rId5" Type="http://schemas.openxmlformats.org/officeDocument/2006/relationships/hyperlink" Target="http://www.citi.com/domain/home.htm" TargetMode="External"/><Relationship Id="rId4" Type="http://schemas.openxmlformats.org/officeDocument/2006/relationships/hyperlink" Target="http://news.bbc.co.uk/go/pr/fr/-/2/hi/business/7832484.s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2011-05-22T06:47:00Z</dcterms:created>
  <dcterms:modified xsi:type="dcterms:W3CDTF">2011-05-22T16:25:00Z</dcterms:modified>
</cp:coreProperties>
</file>