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0" w:rsidRDefault="00172150" w:rsidP="0017215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Calculating Equivalent Unit Costs</w:t>
      </w:r>
    </w:p>
    <w:p w:rsidR="00172150" w:rsidRPr="000974F7" w:rsidRDefault="00172150" w:rsidP="00172150">
      <w:pPr>
        <w:jc w:val="center"/>
        <w:rPr>
          <w:rFonts w:cs="Arial"/>
          <w:b/>
          <w:sz w:val="16"/>
          <w:szCs w:val="16"/>
        </w:rPr>
      </w:pPr>
      <w:bookmarkStart w:id="0" w:name="OLE_LINK1"/>
      <w:bookmarkStart w:id="1" w:name="OLE_LINK2"/>
      <w:r>
        <w:rPr>
          <w:rFonts w:cs="Arial"/>
          <w:b/>
          <w:sz w:val="16"/>
          <w:szCs w:val="16"/>
        </w:rPr>
        <w:t xml:space="preserve">Used for </w:t>
      </w:r>
      <w:r w:rsidRPr="000974F7">
        <w:rPr>
          <w:rFonts w:cs="Arial"/>
          <w:b/>
          <w:sz w:val="16"/>
          <w:szCs w:val="16"/>
        </w:rPr>
        <w:t>Unit 3 Calculating Equivalent Unit Costs</w:t>
      </w:r>
      <w:r>
        <w:rPr>
          <w:rFonts w:cs="Arial"/>
          <w:b/>
          <w:sz w:val="16"/>
          <w:szCs w:val="16"/>
        </w:rPr>
        <w:t xml:space="preserve"> Assignment</w:t>
      </w:r>
    </w:p>
    <w:bookmarkEnd w:id="0"/>
    <w:bookmarkEnd w:id="1"/>
    <w:p w:rsidR="00172150" w:rsidRPr="003F7C0B" w:rsidRDefault="00172150" w:rsidP="00172150">
      <w:pPr>
        <w:rPr>
          <w:rFonts w:cs="Arial"/>
          <w:b/>
          <w:sz w:val="28"/>
        </w:rPr>
      </w:pPr>
    </w:p>
    <w:p w:rsidR="00172150" w:rsidRPr="000974F7" w:rsidRDefault="00172150" w:rsidP="00172150">
      <w:pPr>
        <w:rPr>
          <w:rFonts w:cs="Arial"/>
          <w:b/>
          <w:color w:val="000000"/>
          <w:szCs w:val="20"/>
        </w:rPr>
      </w:pPr>
    </w:p>
    <w:p w:rsidR="00172150" w:rsidRPr="000974F7" w:rsidRDefault="00172150" w:rsidP="00172150">
      <w:pPr>
        <w:spacing w:before="120"/>
        <w:rPr>
          <w:rFonts w:cs="Arial"/>
          <w:b/>
          <w:color w:val="000000"/>
          <w:szCs w:val="20"/>
        </w:rPr>
      </w:pPr>
      <w:r w:rsidRPr="000974F7">
        <w:rPr>
          <w:rFonts w:cs="Arial"/>
          <w:b/>
          <w:i/>
          <w:color w:val="000000"/>
          <w:szCs w:val="20"/>
        </w:rPr>
        <w:t>Part 1</w:t>
      </w:r>
    </w:p>
    <w:p w:rsidR="00172150" w:rsidRPr="000974F7" w:rsidRDefault="00172150" w:rsidP="00172150">
      <w:pPr>
        <w:spacing w:after="60"/>
        <w:jc w:val="center"/>
        <w:rPr>
          <w:rFonts w:cs="Arial"/>
          <w:b/>
          <w:color w:val="000000"/>
          <w:szCs w:val="20"/>
        </w:rPr>
      </w:pPr>
      <w:r w:rsidRPr="000974F7">
        <w:rPr>
          <w:rFonts w:cs="Arial"/>
          <w:b/>
          <w:color w:val="000000"/>
          <w:szCs w:val="20"/>
        </w:rPr>
        <w:t xml:space="preserve">(a) </w:t>
      </w:r>
      <w:proofErr w:type="gramStart"/>
      <w:r w:rsidRPr="000974F7">
        <w:rPr>
          <w:rFonts w:cs="Arial"/>
          <w:b/>
          <w:color w:val="000000"/>
          <w:szCs w:val="20"/>
        </w:rPr>
        <w:t>and</w:t>
      </w:r>
      <w:proofErr w:type="gramEnd"/>
      <w:r w:rsidRPr="000974F7">
        <w:rPr>
          <w:rFonts w:cs="Arial"/>
          <w:b/>
          <w:color w:val="000000"/>
          <w:szCs w:val="20"/>
        </w:rPr>
        <w:t xml:space="preserve"> (b) Equivalent units with respect to direct materials and direct labor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2"/>
        <w:gridCol w:w="1710"/>
        <w:gridCol w:w="1710"/>
      </w:tblGrid>
      <w:tr w:rsidR="00345766" w:rsidRPr="003F7C0B" w:rsidTr="00834153">
        <w:trPr>
          <w:trHeight w:val="608"/>
        </w:trPr>
        <w:tc>
          <w:tcPr>
            <w:tcW w:w="6012" w:type="dxa"/>
            <w:shd w:val="pct10" w:color="auto" w:fill="auto"/>
          </w:tcPr>
          <w:p w:rsidR="00345766" w:rsidRDefault="00345766" w:rsidP="00834153">
            <w:pPr>
              <w:rPr>
                <w:rFonts w:cs="Arial"/>
                <w:b/>
                <w:iCs/>
                <w:color w:val="000000"/>
                <w:sz w:val="26"/>
                <w:szCs w:val="26"/>
              </w:rPr>
            </w:pPr>
          </w:p>
          <w:p w:rsidR="00345766" w:rsidRPr="003F7C0B" w:rsidRDefault="00345766" w:rsidP="00834153">
            <w:pPr>
              <w:rPr>
                <w:rFonts w:cs="Arial"/>
                <w:b/>
                <w:iCs/>
                <w:color w:val="000000"/>
                <w:sz w:val="26"/>
                <w:szCs w:val="26"/>
              </w:rPr>
            </w:pP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Equivalent units of production (EUP)</w:t>
            </w:r>
            <w:r>
              <w:rPr>
                <w:rFonts w:cs="Arial"/>
                <w:b/>
                <w:i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shd w:val="pct10" w:color="auto" w:fill="auto"/>
          </w:tcPr>
          <w:p w:rsidR="00345766" w:rsidRPr="003F7C0B" w:rsidRDefault="00345766" w:rsidP="00834153">
            <w:pPr>
              <w:jc w:val="center"/>
              <w:rPr>
                <w:rFonts w:cs="Arial"/>
                <w:b/>
                <w:iCs/>
                <w:color w:val="000000"/>
                <w:sz w:val="26"/>
                <w:szCs w:val="26"/>
              </w:rPr>
            </w:pP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Direct</w:t>
            </w:r>
            <w:r>
              <w:rPr>
                <w:rFonts w:cs="Arial"/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Materials</w:t>
            </w:r>
          </w:p>
        </w:tc>
        <w:tc>
          <w:tcPr>
            <w:tcW w:w="1710" w:type="dxa"/>
            <w:shd w:val="pct10" w:color="auto" w:fill="auto"/>
          </w:tcPr>
          <w:p w:rsidR="00345766" w:rsidRPr="003F7C0B" w:rsidRDefault="00345766" w:rsidP="00834153">
            <w:pPr>
              <w:jc w:val="center"/>
              <w:rPr>
                <w:rFonts w:cs="Arial"/>
                <w:b/>
                <w:iCs/>
                <w:color w:val="000000"/>
                <w:sz w:val="26"/>
                <w:szCs w:val="26"/>
              </w:rPr>
            </w:pP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Direct</w:t>
            </w:r>
            <w:r>
              <w:rPr>
                <w:rFonts w:cs="Arial"/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Labor</w:t>
            </w:r>
          </w:p>
        </w:tc>
      </w:tr>
      <w:tr w:rsidR="00345766" w:rsidRPr="003F7C0B" w:rsidTr="00834153">
        <w:tc>
          <w:tcPr>
            <w:tcW w:w="6012" w:type="dxa"/>
          </w:tcPr>
          <w:p w:rsidR="00345766" w:rsidRPr="003F7C0B" w:rsidRDefault="00345766" w:rsidP="00834153">
            <w:pPr>
              <w:tabs>
                <w:tab w:val="right" w:leader="dot" w:pos="592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Units completed and transferred out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$735,000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$735,000</w:t>
            </w:r>
          </w:p>
        </w:tc>
      </w:tr>
      <w:tr w:rsidR="00345766" w:rsidRPr="003F7C0B" w:rsidTr="00834153">
        <w:tc>
          <w:tcPr>
            <w:tcW w:w="6012" w:type="dxa"/>
          </w:tcPr>
          <w:p w:rsidR="00345766" w:rsidRPr="003F7C0B" w:rsidRDefault="00345766" w:rsidP="00834153">
            <w:pPr>
              <w:tabs>
                <w:tab w:val="right" w:leader="dot" w:pos="592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Units of ending goods in process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</w:tr>
      <w:tr w:rsidR="00345766" w:rsidRPr="003F7C0B" w:rsidTr="00834153">
        <w:tc>
          <w:tcPr>
            <w:tcW w:w="6012" w:type="dxa"/>
          </w:tcPr>
          <w:p w:rsidR="00345766" w:rsidRPr="003F7C0B" w:rsidRDefault="00345766" w:rsidP="00834153">
            <w:pPr>
              <w:tabs>
                <w:tab w:val="right" w:leader="dot" w:pos="5922"/>
              </w:tabs>
              <w:ind w:left="432" w:hanging="432"/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ab/>
              <w:t>Direct materials</w:t>
            </w:r>
            <w:r>
              <w:rPr>
                <w:rFonts w:cs="Arial"/>
                <w:b/>
                <w:color w:val="000000"/>
                <w:sz w:val="26"/>
              </w:rPr>
              <w:t xml:space="preserve"> 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1A0ACC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 w:rsidRPr="001A0ACC">
              <w:rPr>
                <w:rFonts w:cs="Arial"/>
                <w:b/>
                <w:color w:val="000000"/>
                <w:sz w:val="26"/>
                <w:u w:val="single"/>
              </w:rPr>
              <w:t>207,000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</w:p>
        </w:tc>
      </w:tr>
      <w:tr w:rsidR="00345766" w:rsidRPr="003F7C0B" w:rsidTr="00834153">
        <w:tc>
          <w:tcPr>
            <w:tcW w:w="6012" w:type="dxa"/>
          </w:tcPr>
          <w:p w:rsidR="00345766" w:rsidRPr="003F7C0B" w:rsidRDefault="00345766" w:rsidP="00834153">
            <w:pPr>
              <w:tabs>
                <w:tab w:val="right" w:leader="dot" w:pos="5922"/>
              </w:tabs>
              <w:ind w:left="432" w:hanging="432"/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ab/>
              <w:t>Direct labor</w:t>
            </w:r>
            <w:r>
              <w:rPr>
                <w:rFonts w:cs="Arial"/>
                <w:b/>
                <w:color w:val="000000"/>
                <w:sz w:val="26"/>
              </w:rPr>
              <w:t xml:space="preserve"> 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ind w:right="324"/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  <w:u w:val="single"/>
              </w:rPr>
              <w:t>186,300</w:t>
            </w:r>
          </w:p>
        </w:tc>
      </w:tr>
      <w:tr w:rsidR="00345766" w:rsidRPr="003F7C0B" w:rsidTr="00834153">
        <w:tc>
          <w:tcPr>
            <w:tcW w:w="6012" w:type="dxa"/>
          </w:tcPr>
          <w:p w:rsidR="00345766" w:rsidRPr="003F7C0B" w:rsidRDefault="00345766" w:rsidP="00834153">
            <w:pPr>
              <w:tabs>
                <w:tab w:val="right" w:leader="dot" w:pos="592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Total equivalent units of production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spacing w:line="360" w:lineRule="auto"/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$942,000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spacing w:line="360" w:lineRule="auto"/>
              <w:ind w:right="324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$921,300</w:t>
            </w:r>
          </w:p>
        </w:tc>
      </w:tr>
    </w:tbl>
    <w:p w:rsidR="00345766" w:rsidRPr="00E31EA2" w:rsidRDefault="00345766" w:rsidP="00345766">
      <w:pPr>
        <w:rPr>
          <w:rFonts w:cs="Arial"/>
          <w:b/>
          <w:i/>
          <w:color w:val="000000"/>
          <w:sz w:val="26"/>
        </w:rPr>
      </w:pPr>
    </w:p>
    <w:p w:rsidR="00345766" w:rsidRPr="000974F7" w:rsidRDefault="00345766" w:rsidP="00345766">
      <w:pPr>
        <w:spacing w:before="120"/>
        <w:rPr>
          <w:rFonts w:cs="Arial"/>
          <w:b/>
          <w:color w:val="000000"/>
          <w:szCs w:val="20"/>
        </w:rPr>
      </w:pPr>
      <w:r w:rsidRPr="000974F7">
        <w:rPr>
          <w:rFonts w:cs="Arial"/>
          <w:b/>
          <w:i/>
          <w:color w:val="000000"/>
          <w:szCs w:val="20"/>
        </w:rPr>
        <w:t>Part 2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  <w:gridCol w:w="1710"/>
      </w:tblGrid>
      <w:tr w:rsidR="00345766" w:rsidRPr="003F7C0B" w:rsidTr="00834153">
        <w:tc>
          <w:tcPr>
            <w:tcW w:w="6030" w:type="dxa"/>
            <w:shd w:val="pct10" w:color="auto" w:fill="auto"/>
          </w:tcPr>
          <w:p w:rsidR="00345766" w:rsidRPr="003F7C0B" w:rsidRDefault="00345766" w:rsidP="00834153">
            <w:pPr>
              <w:rPr>
                <w:rFonts w:cs="Arial"/>
                <w:b/>
                <w:color w:val="000000"/>
                <w:sz w:val="26"/>
              </w:rPr>
            </w:pPr>
          </w:p>
          <w:p w:rsidR="00345766" w:rsidRPr="003F7C0B" w:rsidRDefault="00345766" w:rsidP="00834153">
            <w:pPr>
              <w:rPr>
                <w:rFonts w:cs="Arial"/>
                <w:b/>
                <w:iCs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Cost per equivalent unit of production</w:t>
            </w:r>
          </w:p>
        </w:tc>
        <w:tc>
          <w:tcPr>
            <w:tcW w:w="1710" w:type="dxa"/>
            <w:shd w:val="pct10" w:color="auto" w:fill="auto"/>
          </w:tcPr>
          <w:p w:rsidR="00345766" w:rsidRPr="003F7C0B" w:rsidRDefault="00345766" w:rsidP="00834153">
            <w:pPr>
              <w:jc w:val="center"/>
              <w:rPr>
                <w:rFonts w:cs="Arial"/>
                <w:b/>
                <w:iCs/>
                <w:color w:val="000000"/>
                <w:sz w:val="26"/>
              </w:rPr>
            </w:pPr>
            <w:r w:rsidRPr="003F7C0B">
              <w:rPr>
                <w:rFonts w:cs="Arial"/>
                <w:b/>
                <w:iCs/>
                <w:color w:val="000000"/>
                <w:sz w:val="26"/>
              </w:rPr>
              <w:t>Direct Materials</w:t>
            </w:r>
          </w:p>
        </w:tc>
        <w:tc>
          <w:tcPr>
            <w:tcW w:w="1710" w:type="dxa"/>
            <w:shd w:val="pct10" w:color="auto" w:fill="auto"/>
          </w:tcPr>
          <w:p w:rsidR="00345766" w:rsidRPr="003F7C0B" w:rsidRDefault="00345766" w:rsidP="00834153">
            <w:pPr>
              <w:jc w:val="center"/>
              <w:rPr>
                <w:rFonts w:cs="Arial"/>
                <w:b/>
                <w:iCs/>
                <w:color w:val="000000"/>
                <w:sz w:val="24"/>
              </w:rPr>
            </w:pPr>
            <w:r w:rsidRPr="003F7C0B">
              <w:rPr>
                <w:rFonts w:cs="Arial"/>
                <w:b/>
                <w:iCs/>
                <w:color w:val="000000"/>
                <w:sz w:val="26"/>
                <w:szCs w:val="26"/>
              </w:rPr>
              <w:t>Direct Labor</w:t>
            </w:r>
          </w:p>
        </w:tc>
      </w:tr>
      <w:tr w:rsidR="00345766" w:rsidRPr="003F7C0B" w:rsidTr="00834153">
        <w:tc>
          <w:tcPr>
            <w:tcW w:w="6030" w:type="dxa"/>
          </w:tcPr>
          <w:p w:rsidR="00345766" w:rsidRPr="00BA000F" w:rsidRDefault="00345766" w:rsidP="00834153">
            <w:pPr>
              <w:pStyle w:val="Heading7"/>
              <w:tabs>
                <w:tab w:val="right" w:leader="dot" w:pos="6462"/>
              </w:tabs>
              <w:rPr>
                <w:rFonts w:ascii="Arial" w:hAnsi="Arial" w:cs="Arial"/>
                <w:color w:val="000000"/>
              </w:rPr>
            </w:pPr>
            <w:r w:rsidRPr="00BA000F">
              <w:rPr>
                <w:rFonts w:ascii="Arial" w:hAnsi="Arial" w:cs="Arial"/>
                <w:color w:val="000000"/>
              </w:rPr>
              <w:t>Costs of beginning goods in process</w:t>
            </w:r>
            <w:r w:rsidRPr="00BA000F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 w:right="-1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244,920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69,098</w:t>
            </w:r>
          </w:p>
        </w:tc>
      </w:tr>
      <w:tr w:rsidR="00345766" w:rsidRPr="003F7C0B" w:rsidTr="00834153">
        <w:tc>
          <w:tcPr>
            <w:tcW w:w="603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Costs incurred this period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 w:right="-18"/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  <w:u w:val="single"/>
              </w:rPr>
              <w:t>1,639,080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/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  <w:u w:val="single"/>
              </w:rPr>
              <w:t>1,312,852</w:t>
            </w:r>
          </w:p>
        </w:tc>
      </w:tr>
      <w:tr w:rsidR="00345766" w:rsidRPr="003F7C0B" w:rsidTr="00834153">
        <w:tc>
          <w:tcPr>
            <w:tcW w:w="603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Total costs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 w:right="-1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1,884,000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1,381,950</w:t>
            </w:r>
          </w:p>
        </w:tc>
      </w:tr>
      <w:tr w:rsidR="00345766" w:rsidRPr="003F7C0B" w:rsidTr="00834153">
        <w:tc>
          <w:tcPr>
            <w:tcW w:w="603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spacing w:before="120"/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÷ Equivalent units of production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spacing w:before="120"/>
              <w:ind w:left="-108" w:right="-1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942,000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spacing w:before="120"/>
              <w:ind w:left="-108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921,300</w:t>
            </w:r>
          </w:p>
        </w:tc>
      </w:tr>
      <w:tr w:rsidR="00345766" w:rsidRPr="003F7C0B" w:rsidTr="00834153">
        <w:tc>
          <w:tcPr>
            <w:tcW w:w="603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Cost per equivalent unit of production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 w:right="-18"/>
              <w:jc w:val="right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2.00 per EUP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ind w:left="-108"/>
              <w:jc w:val="right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1.50 per EUP</w:t>
            </w:r>
          </w:p>
        </w:tc>
      </w:tr>
    </w:tbl>
    <w:p w:rsidR="00345766" w:rsidRPr="00E31EA2" w:rsidRDefault="00345766" w:rsidP="00345766">
      <w:pPr>
        <w:rPr>
          <w:rFonts w:cs="Arial"/>
          <w:b/>
          <w:i/>
          <w:color w:val="000000"/>
          <w:sz w:val="26"/>
        </w:rPr>
      </w:pPr>
    </w:p>
    <w:p w:rsidR="00345766" w:rsidRPr="000974F7" w:rsidRDefault="00345766" w:rsidP="00345766">
      <w:pPr>
        <w:spacing w:before="120"/>
        <w:rPr>
          <w:rFonts w:cs="Arial"/>
          <w:b/>
          <w:i/>
          <w:color w:val="000000"/>
          <w:szCs w:val="20"/>
        </w:rPr>
      </w:pPr>
      <w:r w:rsidRPr="000974F7">
        <w:rPr>
          <w:rFonts w:cs="Arial"/>
          <w:b/>
          <w:i/>
          <w:color w:val="000000"/>
          <w:szCs w:val="20"/>
        </w:rPr>
        <w:t xml:space="preserve">Part 3    </w:t>
      </w:r>
    </w:p>
    <w:p w:rsidR="00345766" w:rsidRPr="000974F7" w:rsidRDefault="00345766" w:rsidP="00345766">
      <w:pPr>
        <w:spacing w:before="240" w:after="120"/>
        <w:jc w:val="center"/>
        <w:rPr>
          <w:rFonts w:cs="Arial"/>
          <w:b/>
          <w:color w:val="000000"/>
          <w:szCs w:val="20"/>
        </w:rPr>
      </w:pPr>
      <w:r w:rsidRPr="000974F7">
        <w:rPr>
          <w:rFonts w:cs="Arial"/>
          <w:b/>
          <w:color w:val="000000"/>
          <w:szCs w:val="20"/>
        </w:rPr>
        <w:t>Assigning product costs to units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530"/>
        <w:gridCol w:w="1710"/>
      </w:tblGrid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4320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Costs transferred out</w:t>
            </w:r>
            <w:r>
              <w:rPr>
                <w:rFonts w:cs="Arial"/>
                <w:b/>
                <w:color w:val="000000"/>
                <w:sz w:val="26"/>
              </w:rPr>
              <w:t>:</w:t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Direct materials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$207,000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Direct labor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  <w:u w:val="single"/>
              </w:rPr>
              <w:t>$186,300</w:t>
            </w: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Total costs transferred out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 xml:space="preserve">$393,300 </w:t>
            </w: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Costs of ending goods in process</w:t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Direct materials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>244,920</w:t>
            </w: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Direct labor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</w:rPr>
              <w:t>69,098</w:t>
            </w: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ind w:left="612" w:hanging="612"/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 xml:space="preserve">  Total costs of ending goods in process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jc w:val="right"/>
              <w:rPr>
                <w:rFonts w:cs="Arial"/>
                <w:b/>
                <w:color w:val="000000"/>
                <w:sz w:val="26"/>
                <w:u w:val="single"/>
              </w:rPr>
            </w:pPr>
            <w:r>
              <w:rPr>
                <w:rFonts w:cs="Arial"/>
                <w:b/>
                <w:color w:val="000000"/>
                <w:sz w:val="26"/>
                <w:u w:val="single"/>
              </w:rPr>
              <w:t xml:space="preserve">$314,018 </w:t>
            </w:r>
          </w:p>
        </w:tc>
      </w:tr>
      <w:tr w:rsidR="00345766" w:rsidRPr="003F7C0B" w:rsidTr="00834153">
        <w:tc>
          <w:tcPr>
            <w:tcW w:w="6210" w:type="dxa"/>
          </w:tcPr>
          <w:p w:rsidR="00345766" w:rsidRPr="003F7C0B" w:rsidRDefault="00345766" w:rsidP="00834153">
            <w:pPr>
              <w:tabs>
                <w:tab w:val="right" w:leader="dot" w:pos="6462"/>
              </w:tabs>
              <w:spacing w:after="180"/>
              <w:ind w:left="612" w:hanging="612"/>
              <w:rPr>
                <w:rFonts w:cs="Arial"/>
                <w:b/>
                <w:color w:val="000000"/>
                <w:sz w:val="26"/>
              </w:rPr>
            </w:pPr>
            <w:r w:rsidRPr="003F7C0B">
              <w:rPr>
                <w:rFonts w:cs="Arial"/>
                <w:b/>
                <w:color w:val="000000"/>
                <w:sz w:val="26"/>
              </w:rPr>
              <w:t>Total costs accounted for</w:t>
            </w:r>
            <w:r w:rsidRPr="003F7C0B">
              <w:rPr>
                <w:rFonts w:cs="Arial"/>
                <w:b/>
                <w:color w:val="000000"/>
                <w:sz w:val="26"/>
              </w:rPr>
              <w:tab/>
            </w:r>
          </w:p>
        </w:tc>
        <w:tc>
          <w:tcPr>
            <w:tcW w:w="1530" w:type="dxa"/>
          </w:tcPr>
          <w:p w:rsidR="00345766" w:rsidRPr="003F7C0B" w:rsidRDefault="00345766" w:rsidP="00834153">
            <w:pPr>
              <w:spacing w:after="180"/>
              <w:jc w:val="right"/>
              <w:rPr>
                <w:rFonts w:cs="Arial"/>
                <w:b/>
                <w:color w:val="000000"/>
                <w:sz w:val="26"/>
              </w:rPr>
            </w:pPr>
          </w:p>
        </w:tc>
        <w:tc>
          <w:tcPr>
            <w:tcW w:w="1710" w:type="dxa"/>
          </w:tcPr>
          <w:p w:rsidR="00345766" w:rsidRPr="003F7C0B" w:rsidRDefault="00345766" w:rsidP="00834153">
            <w:pPr>
              <w:spacing w:after="180"/>
              <w:jc w:val="right"/>
              <w:rPr>
                <w:rFonts w:cs="Arial"/>
                <w:b/>
                <w:color w:val="000000"/>
                <w:sz w:val="26"/>
              </w:rPr>
            </w:pPr>
            <w:r>
              <w:rPr>
                <w:rFonts w:cs="Arial"/>
                <w:b/>
                <w:color w:val="000000"/>
                <w:sz w:val="26"/>
              </w:rPr>
              <w:t xml:space="preserve">$707,318 </w:t>
            </w:r>
          </w:p>
        </w:tc>
      </w:tr>
    </w:tbl>
    <w:p w:rsidR="00345766" w:rsidRDefault="00345766" w:rsidP="00345766"/>
    <w:p w:rsidR="00345766" w:rsidRPr="00861D3E" w:rsidRDefault="00345766" w:rsidP="00345766">
      <w:pPr>
        <w:rPr>
          <w:rFonts w:cs="Arial"/>
          <w:sz w:val="24"/>
        </w:rPr>
      </w:pPr>
    </w:p>
    <w:p w:rsidR="00622C7C" w:rsidRDefault="00622C7C">
      <w:bookmarkStart w:id="2" w:name="_GoBack"/>
      <w:bookmarkEnd w:id="2"/>
    </w:p>
    <w:sectPr w:rsidR="00622C7C" w:rsidSect="005B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33" w:rsidRDefault="00D26A33" w:rsidP="00172150">
      <w:r>
        <w:separator/>
      </w:r>
    </w:p>
  </w:endnote>
  <w:endnote w:type="continuationSeparator" w:id="0">
    <w:p w:rsidR="00D26A33" w:rsidRDefault="00D26A33" w:rsidP="001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0" w:rsidRDefault="00172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B" w:rsidRDefault="00D26A33" w:rsidP="005B7B81">
    <w:pPr>
      <w:tabs>
        <w:tab w:val="right" w:pos="9270"/>
      </w:tabs>
      <w:ind w:right="90"/>
      <w:jc w:val="right"/>
      <w:rPr>
        <w:rStyle w:val="PageNumber"/>
      </w:rPr>
    </w:pPr>
  </w:p>
  <w:p w:rsidR="00A818DB" w:rsidRDefault="00172150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0834F" wp14:editId="096A4764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Tc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" strokecolor="#ddd" strokeweight="1.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694"/>
    </w:tblGrid>
    <w:tr w:rsidR="00172150" w:rsidRPr="009034B9" w:rsidTr="00172150">
      <w:trPr>
        <w:trHeight w:val="293"/>
      </w:trPr>
      <w:tc>
        <w:tcPr>
          <w:tcW w:w="4694" w:type="dxa"/>
        </w:tcPr>
        <w:p w:rsidR="00172150" w:rsidRPr="009034B9" w:rsidRDefault="00172150" w:rsidP="009034B9">
          <w:pPr>
            <w:tabs>
              <w:tab w:val="right" w:pos="9270"/>
            </w:tabs>
            <w:ind w:right="90"/>
            <w:jc w:val="right"/>
            <w:rPr>
              <w:rFonts w:cs="Arial"/>
              <w:sz w:val="18"/>
              <w:szCs w:val="18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457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172150" w:rsidRPr="009034B9" w:rsidRDefault="00172150" w:rsidP="009034B9">
          <w:pPr>
            <w:tabs>
              <w:tab w:val="right" w:pos="9270"/>
            </w:tabs>
            <w:ind w:right="90"/>
            <w:jc w:val="right"/>
            <w:rPr>
              <w:rFonts w:cs="Arial"/>
              <w:sz w:val="18"/>
              <w:szCs w:val="18"/>
            </w:rPr>
          </w:pPr>
        </w:p>
      </w:tc>
    </w:tr>
  </w:tbl>
  <w:p w:rsidR="00A818DB" w:rsidRDefault="00D26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0" w:rsidRDefault="0017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33" w:rsidRDefault="00D26A33" w:rsidP="00172150">
      <w:r>
        <w:separator/>
      </w:r>
    </w:p>
  </w:footnote>
  <w:footnote w:type="continuationSeparator" w:id="0">
    <w:p w:rsidR="00D26A33" w:rsidRDefault="00D26A33" w:rsidP="0017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0" w:rsidRDefault="00172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DB" w:rsidRDefault="00172150" w:rsidP="005B7B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8DB" w:rsidRPr="00FA5259" w:rsidRDefault="00D26A33" w:rsidP="00FA5259">
                          <w:pPr>
                            <w:jc w:val="right"/>
                            <w:rPr>
                              <w:rFonts w:cs="Arial"/>
                              <w:b/>
                              <w:color w:val="80808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7.25pt;margin-top:8.35pt;width:29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KKlJwe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A818DB" w:rsidRPr="00FA5259" w:rsidRDefault="00E26DC9" w:rsidP="00FA5259">
                    <w:pPr>
                      <w:jc w:val="right"/>
                      <w:rPr>
                        <w:rFonts w:cs="Arial"/>
                        <w:b/>
                        <w:color w:val="80808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in;margin-top:4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EI4wIAAGA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" filled="f" stroked="f">
              <v:textbox inset="0,0,0,0"/>
            </v:rect>
          </w:pict>
        </mc:Fallback>
      </mc:AlternateContent>
    </w:r>
  </w:p>
  <w:p w:rsidR="00A818DB" w:rsidRDefault="00172150" w:rsidP="005B7B8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ZiHgIAADc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" strokecolor="#ddd" strokeweight="1.5pt"/>
          </w:pict>
        </mc:Fallback>
      </mc:AlternateContent>
    </w:r>
  </w:p>
  <w:p w:rsidR="00A818DB" w:rsidRDefault="00D26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50" w:rsidRDefault="00172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0"/>
    <w:rsid w:val="00163F23"/>
    <w:rsid w:val="00172150"/>
    <w:rsid w:val="00345766"/>
    <w:rsid w:val="00622C7C"/>
    <w:rsid w:val="0072686A"/>
    <w:rsid w:val="00D26A33"/>
    <w:rsid w:val="00E26DC9"/>
    <w:rsid w:val="00F61B0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2150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7215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172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15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172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150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rsid w:val="0017215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2150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7215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172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215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172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150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rsid w:val="0017215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- Laptop</dc:creator>
  <cp:lastModifiedBy>Bonnie - Laptop</cp:lastModifiedBy>
  <cp:revision>5</cp:revision>
  <dcterms:created xsi:type="dcterms:W3CDTF">2011-05-14T19:33:00Z</dcterms:created>
  <dcterms:modified xsi:type="dcterms:W3CDTF">2011-05-14T20:53:00Z</dcterms:modified>
</cp:coreProperties>
</file>