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63" w:rsidRDefault="00192CC3">
      <w:r>
        <w:t xml:space="preserve">Accounting – </w:t>
      </w:r>
      <w:r w:rsidR="006145E0">
        <w:t xml:space="preserve">Project 1 -Finding errors in a </w:t>
      </w:r>
      <w:r>
        <w:t>Balance Sheet</w:t>
      </w:r>
    </w:p>
    <w:p w:rsidR="00192CC3" w:rsidRPr="00494705" w:rsidRDefault="006145E0" w:rsidP="00A866B6">
      <w:r>
        <w:t xml:space="preserve">Make </w:t>
      </w:r>
      <w:r w:rsidR="006256FD">
        <w:t>a list</w:t>
      </w:r>
      <w:r>
        <w:t xml:space="preserve"> </w:t>
      </w:r>
      <w:r w:rsidR="006256FD">
        <w:t xml:space="preserve">of errors </w:t>
      </w:r>
      <w:r>
        <w:t>sheet</w:t>
      </w:r>
      <w:r w:rsidR="006269CE">
        <w:t xml:space="preserve"> reported </w:t>
      </w:r>
      <w:r w:rsidR="00192CC3">
        <w:t>incorrect</w:t>
      </w:r>
      <w:r w:rsidR="006269CE">
        <w:t>ly</w:t>
      </w:r>
      <w:r w:rsidR="00192CC3">
        <w:t xml:space="preserve"> on this balance sheet </w:t>
      </w:r>
      <w:r w:rsidR="006256FD">
        <w:t xml:space="preserve">(misclassifications, lack of adequate disclosure, and poor terminology). </w:t>
      </w:r>
      <w:r w:rsidR="006269CE">
        <w:t xml:space="preserve">Do not </w:t>
      </w:r>
      <w:r w:rsidR="002D1694">
        <w:t xml:space="preserve">list the arithmetic </w:t>
      </w:r>
      <w:r w:rsidR="006269CE">
        <w:t>errors</w:t>
      </w:r>
      <w:r w:rsidR="002D1694">
        <w:t xml:space="preserve"> or redo the balance sheet. Then list the corrections needed, how it should be shown, and category as it should be.</w:t>
      </w:r>
    </w:p>
    <w:p w:rsidR="00192CC3" w:rsidRPr="00494705" w:rsidRDefault="00192CC3" w:rsidP="00E108D2">
      <w:pPr>
        <w:pStyle w:val="NoSpacing"/>
        <w:jc w:val="center"/>
      </w:pPr>
      <w:r w:rsidRPr="00494705">
        <w:t>West Corporation</w:t>
      </w:r>
    </w:p>
    <w:p w:rsidR="00192CC3" w:rsidRDefault="00192CC3" w:rsidP="00E108D2">
      <w:pPr>
        <w:pStyle w:val="NoSpacing"/>
        <w:jc w:val="center"/>
      </w:pPr>
      <w:r>
        <w:t>Balance Sheet</w:t>
      </w:r>
    </w:p>
    <w:p w:rsidR="00192CC3" w:rsidRDefault="00192CC3" w:rsidP="00E108D2">
      <w:pPr>
        <w:pStyle w:val="NoSpacing"/>
        <w:jc w:val="center"/>
      </w:pPr>
      <w:r>
        <w:t>For the year ended December 31, 2010</w:t>
      </w:r>
    </w:p>
    <w:p w:rsidR="00192CC3" w:rsidRPr="00E108D2" w:rsidRDefault="00192CC3" w:rsidP="00E108D2">
      <w:pPr>
        <w:pStyle w:val="NoSpacing"/>
        <w:jc w:val="center"/>
        <w:rPr>
          <w:u w:val="single"/>
        </w:rPr>
      </w:pPr>
      <w:r w:rsidRPr="00E108D2">
        <w:rPr>
          <w:u w:val="single"/>
        </w:rPr>
        <w:t>Assets</w:t>
      </w:r>
    </w:p>
    <w:p w:rsidR="00192CC3" w:rsidRDefault="00192CC3" w:rsidP="00E108D2">
      <w:pPr>
        <w:pStyle w:val="NoSpacing"/>
      </w:pPr>
      <w:r>
        <w:t>Current Assets:</w:t>
      </w:r>
    </w:p>
    <w:p w:rsidR="00192CC3" w:rsidRDefault="00192CC3" w:rsidP="00E108D2">
      <w:pPr>
        <w:pStyle w:val="NoSpacing"/>
      </w:pPr>
      <w:r>
        <w:t xml:space="preserve">  </w:t>
      </w:r>
      <w:r>
        <w:tab/>
        <w:t>Cash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$18,000</w:t>
      </w:r>
    </w:p>
    <w:p w:rsidR="00192CC3" w:rsidRDefault="00192CC3" w:rsidP="00E108D2">
      <w:pPr>
        <w:pStyle w:val="NoSpacing"/>
      </w:pPr>
      <w:r>
        <w:tab/>
        <w:t>Trading securities (fair value, $32,000)</w:t>
      </w:r>
      <w:r>
        <w:tab/>
      </w:r>
      <w:r>
        <w:tab/>
      </w:r>
      <w:r>
        <w:tab/>
      </w:r>
      <w:r>
        <w:tab/>
        <w:t xml:space="preserve">  27,000</w:t>
      </w:r>
    </w:p>
    <w:p w:rsidR="00192CC3" w:rsidRDefault="00192CC3" w:rsidP="00E108D2">
      <w:pPr>
        <w:pStyle w:val="NoSpacing"/>
      </w:pPr>
      <w:r>
        <w:tab/>
        <w:t>Accounts receivable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75,000</w:t>
      </w:r>
    </w:p>
    <w:p w:rsidR="00192CC3" w:rsidRDefault="00192CC3" w:rsidP="00E108D2">
      <w:pPr>
        <w:pStyle w:val="NoSpacing"/>
      </w:pPr>
      <w:r>
        <w:tab/>
        <w:t>Merchandise inventory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60,000</w:t>
      </w:r>
    </w:p>
    <w:p w:rsidR="00192CC3" w:rsidRDefault="00192CC3" w:rsidP="00E108D2">
      <w:pPr>
        <w:pStyle w:val="NoSpacing"/>
      </w:pPr>
      <w:r>
        <w:tab/>
        <w:t>Supplies inventory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3,000</w:t>
      </w:r>
    </w:p>
    <w:p w:rsidR="00192CC3" w:rsidRDefault="00192CC3" w:rsidP="00E108D2">
      <w:pPr>
        <w:pStyle w:val="NoSpacing"/>
      </w:pPr>
      <w:r>
        <w:tab/>
        <w:t>Stock investment in subsidiary company</w:t>
      </w:r>
      <w:r>
        <w:tab/>
      </w:r>
      <w:r>
        <w:tab/>
      </w:r>
      <w:r>
        <w:tab/>
      </w:r>
      <w:r>
        <w:tab/>
        <w:t xml:space="preserve">  </w:t>
      </w:r>
      <w:r w:rsidRPr="006256FD">
        <w:rPr>
          <w:u w:val="single"/>
        </w:rPr>
        <w:t>60,000</w:t>
      </w:r>
      <w:r w:rsidRPr="006256FD">
        <w:rPr>
          <w:u w:val="single"/>
        </w:rPr>
        <w:tab/>
      </w:r>
      <w:r>
        <w:tab/>
      </w:r>
      <w:r w:rsidR="00FD777E">
        <w:t>$234,000</w:t>
      </w:r>
    </w:p>
    <w:p w:rsidR="00FD777E" w:rsidRDefault="001D19C2" w:rsidP="00E108D2">
      <w:pPr>
        <w:pStyle w:val="NoSpacing"/>
      </w:pPr>
      <w:r>
        <w:t>Do</w:t>
      </w:r>
    </w:p>
    <w:p w:rsidR="00192CC3" w:rsidRDefault="00192CC3" w:rsidP="00E108D2">
      <w:pPr>
        <w:pStyle w:val="NoSpacing"/>
      </w:pPr>
      <w:r>
        <w:t>Investments:</w:t>
      </w:r>
    </w:p>
    <w:p w:rsidR="00FD777E" w:rsidRDefault="00FD777E" w:rsidP="00E108D2">
      <w:pPr>
        <w:pStyle w:val="NoSpacing"/>
      </w:pPr>
      <w:r>
        <w:tab/>
        <w:t>Treasury stock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78,000</w:t>
      </w:r>
    </w:p>
    <w:p w:rsidR="00FD777E" w:rsidRDefault="00FD777E" w:rsidP="00E108D2">
      <w:pPr>
        <w:pStyle w:val="NoSpacing"/>
      </w:pPr>
      <w:r>
        <w:t>Tangible Fixed Assets:</w:t>
      </w:r>
    </w:p>
    <w:p w:rsidR="00FD777E" w:rsidRDefault="00FD777E" w:rsidP="00E108D2">
      <w:pPr>
        <w:pStyle w:val="NoSpacing"/>
      </w:pPr>
      <w:r>
        <w:tab/>
        <w:t>Building and land</w:t>
      </w:r>
      <w:r>
        <w:tab/>
      </w:r>
      <w:r>
        <w:tab/>
      </w:r>
      <w:r>
        <w:tab/>
      </w:r>
      <w:r>
        <w:tab/>
      </w:r>
      <w:r>
        <w:tab/>
      </w:r>
      <w:r>
        <w:tab/>
        <w:t>213,000</w:t>
      </w:r>
    </w:p>
    <w:p w:rsidR="00FD777E" w:rsidRDefault="00FD777E" w:rsidP="00E108D2">
      <w:pPr>
        <w:pStyle w:val="NoSpacing"/>
      </w:pPr>
      <w:r>
        <w:tab/>
        <w:t>Less: Reserve for depreciation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108D2">
        <w:rPr>
          <w:u w:val="single"/>
        </w:rPr>
        <w:t>60,000</w:t>
      </w:r>
      <w:r>
        <w:tab/>
      </w:r>
      <w:r>
        <w:tab/>
        <w:t>153,000</w:t>
      </w:r>
    </w:p>
    <w:p w:rsidR="00FD777E" w:rsidRDefault="00FD777E" w:rsidP="00E108D2">
      <w:pPr>
        <w:pStyle w:val="NoSpacing"/>
      </w:pPr>
      <w:r>
        <w:t>Deferred Charges:</w:t>
      </w:r>
    </w:p>
    <w:p w:rsidR="00FD777E" w:rsidRDefault="00FD777E" w:rsidP="00E108D2">
      <w:pPr>
        <w:pStyle w:val="NoSpacing"/>
      </w:pPr>
      <w:r>
        <w:tab/>
        <w:t>Unamortized discount on bonds payable</w:t>
      </w:r>
      <w:r>
        <w:tab/>
      </w:r>
      <w:r>
        <w:tab/>
      </w:r>
      <w:r>
        <w:tab/>
      </w:r>
      <w:r>
        <w:tab/>
      </w:r>
      <w:r>
        <w:tab/>
        <w:t xml:space="preserve">     3,000</w:t>
      </w:r>
    </w:p>
    <w:p w:rsidR="00FD777E" w:rsidRDefault="00FD777E" w:rsidP="00E108D2">
      <w:pPr>
        <w:pStyle w:val="NoSpacing"/>
      </w:pPr>
      <w:r>
        <w:t>Other Assets:</w:t>
      </w:r>
    </w:p>
    <w:p w:rsidR="00FD777E" w:rsidRDefault="00FD777E" w:rsidP="00E108D2">
      <w:pPr>
        <w:pStyle w:val="NoSpacing"/>
      </w:pPr>
      <w:r>
        <w:tab/>
        <w:t>Cash surrender value of life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8D2">
        <w:rPr>
          <w:u w:val="single"/>
        </w:rPr>
        <w:t xml:space="preserve"> 54,000</w:t>
      </w:r>
    </w:p>
    <w:p w:rsidR="00E108D2" w:rsidRPr="00E108D2" w:rsidRDefault="00E108D2" w:rsidP="00E108D2">
      <w:pPr>
        <w:pStyle w:val="NoSpacing"/>
        <w:rPr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8D2">
        <w:rPr>
          <w:u w:val="double"/>
        </w:rPr>
        <w:t>$531,00</w:t>
      </w:r>
    </w:p>
    <w:p w:rsidR="00FD777E" w:rsidRPr="00E108D2" w:rsidRDefault="00EE567A" w:rsidP="00E108D2">
      <w:pPr>
        <w:pStyle w:val="NoSpacing"/>
        <w:jc w:val="center"/>
        <w:rPr>
          <w:u w:val="single"/>
        </w:rPr>
      </w:pPr>
      <w:r w:rsidRPr="00E108D2">
        <w:rPr>
          <w:u w:val="single"/>
        </w:rPr>
        <w:t>Liabilities and Capital</w:t>
      </w:r>
    </w:p>
    <w:p w:rsidR="00EE567A" w:rsidRDefault="00EE567A" w:rsidP="00E108D2">
      <w:pPr>
        <w:pStyle w:val="NoSpacing"/>
      </w:pPr>
      <w:r>
        <w:t>Current Liabilities: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67A" w:rsidRDefault="00EE567A" w:rsidP="00E108D2">
      <w:pPr>
        <w:pStyle w:val="NoSpacing"/>
      </w:pPr>
      <w:r>
        <w:tab/>
        <w:t>Accounts payable</w:t>
      </w:r>
      <w:r>
        <w:tab/>
      </w:r>
      <w:r>
        <w:tab/>
      </w:r>
      <w:r>
        <w:tab/>
      </w:r>
      <w:r>
        <w:tab/>
      </w:r>
      <w:r>
        <w:tab/>
      </w:r>
      <w:r>
        <w:tab/>
        <w:t>$45,000</w:t>
      </w:r>
    </w:p>
    <w:p w:rsidR="00EE567A" w:rsidRDefault="00EE567A" w:rsidP="00E108D2">
      <w:pPr>
        <w:pStyle w:val="NoSpacing"/>
      </w:pPr>
      <w:r>
        <w:tab/>
        <w:t>Reserve for income taxes</w:t>
      </w:r>
      <w:r>
        <w:tab/>
      </w:r>
      <w:r>
        <w:tab/>
      </w:r>
      <w:r>
        <w:tab/>
      </w:r>
      <w:r>
        <w:tab/>
      </w:r>
      <w:r>
        <w:tab/>
        <w:t xml:space="preserve">   42,000</w:t>
      </w:r>
    </w:p>
    <w:p w:rsidR="00EE567A" w:rsidRDefault="00EE567A" w:rsidP="00E108D2">
      <w:pPr>
        <w:pStyle w:val="NoSpacing"/>
      </w:pPr>
      <w:r>
        <w:tab/>
        <w:t>Customer’s accounts with credit balances</w:t>
      </w:r>
      <w:r>
        <w:tab/>
      </w:r>
      <w:r>
        <w:tab/>
      </w:r>
      <w:r>
        <w:tab/>
      </w:r>
      <w:r w:rsidRPr="00EE567A">
        <w:rPr>
          <w:u w:val="single"/>
        </w:rPr>
        <w:t xml:space="preserve">            3</w:t>
      </w:r>
      <w:r w:rsidRPr="00EE567A">
        <w:rPr>
          <w:u w:val="single"/>
        </w:rPr>
        <w:tab/>
      </w:r>
      <w:r>
        <w:tab/>
        <w:t>$87,003</w:t>
      </w:r>
    </w:p>
    <w:p w:rsidR="00EE567A" w:rsidRDefault="00EE567A" w:rsidP="00E108D2">
      <w:pPr>
        <w:pStyle w:val="NoSpacing"/>
      </w:pPr>
      <w:r>
        <w:t>Long-term Liabilities:</w:t>
      </w:r>
    </w:p>
    <w:p w:rsidR="00EE567A" w:rsidRPr="00EE567A" w:rsidRDefault="00EE567A" w:rsidP="00E108D2">
      <w:pPr>
        <w:pStyle w:val="NoSpacing"/>
        <w:rPr>
          <w:u w:val="single"/>
        </w:rPr>
      </w:pPr>
      <w:r>
        <w:tab/>
        <w:t>Bonds payable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67A">
        <w:rPr>
          <w:u w:val="single"/>
        </w:rPr>
        <w:t>120,000</w:t>
      </w:r>
    </w:p>
    <w:p w:rsidR="00EE567A" w:rsidRDefault="00EE567A" w:rsidP="00E108D2">
      <w:pPr>
        <w:pStyle w:val="NoSpacing"/>
      </w:pPr>
      <w:r>
        <w:tab/>
      </w:r>
      <w:r>
        <w:tab/>
        <w:t>Total Liabilities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207,003</w:t>
      </w:r>
      <w:r>
        <w:tab/>
      </w:r>
    </w:p>
    <w:p w:rsidR="00EE567A" w:rsidRDefault="00EE567A" w:rsidP="00E108D2">
      <w:pPr>
        <w:pStyle w:val="NoSpacing"/>
      </w:pPr>
      <w:r>
        <w:t>Capital Stock:</w:t>
      </w:r>
    </w:p>
    <w:p w:rsidR="00EE567A" w:rsidRDefault="00EE567A" w:rsidP="00E108D2">
      <w:pPr>
        <w:pStyle w:val="NoSpacing"/>
      </w:pPr>
      <w:r>
        <w:tab/>
        <w:t>Capital stock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225,000</w:t>
      </w:r>
    </w:p>
    <w:p w:rsidR="00EE567A" w:rsidRDefault="00EE567A" w:rsidP="00E108D2">
      <w:pPr>
        <w:pStyle w:val="NoSpacing"/>
      </w:pPr>
      <w:r>
        <w:tab/>
        <w:t>Earned surplus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74,997</w:t>
      </w:r>
    </w:p>
    <w:p w:rsidR="00EE567A" w:rsidRDefault="00EE567A" w:rsidP="00E108D2">
      <w:pPr>
        <w:pStyle w:val="NoSpacing"/>
      </w:pPr>
      <w:r>
        <w:tab/>
        <w:t>Cash dividends declared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67A">
        <w:rPr>
          <w:u w:val="single"/>
        </w:rPr>
        <w:t xml:space="preserve">  24,000</w:t>
      </w:r>
      <w:r w:rsidRPr="00EE567A">
        <w:rPr>
          <w:u w:val="single"/>
        </w:rPr>
        <w:tab/>
      </w:r>
      <w:r>
        <w:tab/>
      </w:r>
      <w:r w:rsidRPr="00EE567A">
        <w:rPr>
          <w:u w:val="single"/>
        </w:rPr>
        <w:t>323,997</w:t>
      </w:r>
    </w:p>
    <w:p w:rsidR="00EE567A" w:rsidRPr="00E108D2" w:rsidRDefault="00EE567A" w:rsidP="00E108D2">
      <w:pPr>
        <w:pStyle w:val="NoSpacing"/>
        <w:rPr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8D2">
        <w:rPr>
          <w:u w:val="double"/>
        </w:rPr>
        <w:t>$531,000</w:t>
      </w:r>
    </w:p>
    <w:p w:rsidR="00EE567A" w:rsidRDefault="00EE567A" w:rsidP="00E108D2">
      <w:pPr>
        <w:pStyle w:val="NoSpacing"/>
      </w:pPr>
    </w:p>
    <w:p w:rsidR="00192CC3" w:rsidRDefault="00192CC3" w:rsidP="00E108D2">
      <w:pPr>
        <w:pStyle w:val="NoSpacing"/>
      </w:pPr>
    </w:p>
    <w:sectPr w:rsidR="00192CC3" w:rsidSect="00FC5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CC3"/>
    <w:rsid w:val="00192CC3"/>
    <w:rsid w:val="001D19C2"/>
    <w:rsid w:val="002D1694"/>
    <w:rsid w:val="00494705"/>
    <w:rsid w:val="006145E0"/>
    <w:rsid w:val="006256FD"/>
    <w:rsid w:val="006269CE"/>
    <w:rsid w:val="00A866B6"/>
    <w:rsid w:val="00E108D2"/>
    <w:rsid w:val="00E7446B"/>
    <w:rsid w:val="00EE567A"/>
    <w:rsid w:val="00FC5463"/>
    <w:rsid w:val="00FD140F"/>
    <w:rsid w:val="00FD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8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Media</dc:creator>
  <cp:lastModifiedBy>Tanya Media</cp:lastModifiedBy>
  <cp:revision>13</cp:revision>
  <cp:lastPrinted>2011-05-13T22:23:00Z</cp:lastPrinted>
  <dcterms:created xsi:type="dcterms:W3CDTF">2011-05-13T22:17:00Z</dcterms:created>
  <dcterms:modified xsi:type="dcterms:W3CDTF">2011-05-14T00:03:00Z</dcterms:modified>
</cp:coreProperties>
</file>