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120"/>
      </w:tblGrid>
      <w:tr w:rsidR="009E41F4" w:rsidRPr="009E41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9E41F4" w:rsidRPr="009E41F4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9E41F4" w:rsidRPr="009E41F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6600"/>
                                  <w:sz w:val="17"/>
                                  <w:szCs w:val="17"/>
                                </w:rPr>
                                <w:t>E8-12</w: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47625"/>
                                    <wp:effectExtent l="0" t="0" r="0" b="0"/>
                                    <wp:docPr id="10" name="Picture 10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The Cycle Division of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TravelVelocity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Company has the following per unit data related to its most recent cycle called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Roadbuster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tbl>
                        <w:tblPr>
                          <w:tblW w:w="76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  <w:gridCol w:w="3750"/>
                          <w:gridCol w:w="1200"/>
                          <w:gridCol w:w="1200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Selling price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$2,200</w: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Variable cost of goods sold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 Body frame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$300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 Other variable costs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1,200</w: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375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Contribution margin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pBdr>
                                  <w:bottom w:val="doub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$1,000</w:t>
                              </w: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Presently, the Cycle Division buys its body frames from an outside supplier. However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TravelVelocity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has another division, </w:t>
                        </w:r>
                        <w:proofErr w:type="spellStart"/>
                        <w:proofErr w:type="gram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, that</w:t>
                        </w:r>
                        <w:proofErr w:type="gram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makes body frames for other cycle companies. The Cycle Division believes that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FrameBody's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product is suitable for its new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Roadbuster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cycle. Presently,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sells its frames for $350 per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frame.The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variable cost for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is $250. The Cycle Division is willing to pay $275 to purchase the frames from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E41F4" w:rsidRPr="009E41F4" w:rsidRDefault="009E41F4" w:rsidP="009E41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1F4" w:rsidRPr="009E41F4" w:rsidRDefault="009E41F4" w:rsidP="009E41F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41F4" w:rsidRPr="009E41F4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1F4" w:rsidRPr="009E41F4" w:rsidRDefault="009E41F4" w:rsidP="009E41F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9E41F4" w:rsidRPr="009E41F4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9E41F4" w:rsidRPr="009E41F4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9E41F4" w:rsidRPr="009E41F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1F4" w:rsidRPr="009E41F4" w:rsidRDefault="009E41F4" w:rsidP="009E41F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Assume that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has excess capacity and is able to meet all of the Cycle Division's needs. If the Cycle Division buys 1,000 frames from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, determine the following: (1) effect on the income of the Cycle Division; (2) effect on the income of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; and (3) effect on the income of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TravelVelocity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tbl>
                        <w:tblPr>
                          <w:tblW w:w="6975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2475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Effect of income on the Cycle Division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2" type="#_x0000_t75" style="width:60.75pt;height:18pt" o:ole="">
                                    <v:imagedata r:id="rId6" o:title=""/>
                                  </v:shape>
                                  <w:control r:id="rId7" w:name="DefaultOcxName" w:shapeid="_x0000_i1062"/>
                                </w:objec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Effect of income of </w:t>
                              </w:r>
                              <w:proofErr w:type="spellStart"/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FrameBody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61" type="#_x0000_t75" style="width:60.75pt;height:18pt" o:ole="">
                                    <v:imagedata r:id="rId6" o:title=""/>
                                  </v:shape>
                                  <w:control r:id="rId8" w:name="DefaultOcxName1" w:shapeid="_x0000_i1061"/>
                                </w:objec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Effect of income of </w:t>
                              </w:r>
                              <w:proofErr w:type="spellStart"/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TravelVelocity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60" type="#_x0000_t75" style="width:60.75pt;height:18pt" o:ole="">
                                    <v:imagedata r:id="rId6" o:title=""/>
                                  </v:shape>
                                  <w:control r:id="rId9" w:name="DefaultOcxName2" w:shapeid="_x0000_i1060"/>
                                </w:object>
                              </w: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E41F4" w:rsidRPr="009E41F4" w:rsidRDefault="009E41F4" w:rsidP="009E41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1F4" w:rsidRPr="009E41F4" w:rsidRDefault="009E41F4" w:rsidP="009E41F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41F4" w:rsidRPr="009E41F4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1F4" w:rsidRPr="009E41F4" w:rsidRDefault="009E41F4" w:rsidP="009E41F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9E41F4" w:rsidRPr="009E41F4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9E41F4" w:rsidRPr="009E41F4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9E41F4" w:rsidRPr="009E41F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1F4" w:rsidRPr="009E41F4" w:rsidRDefault="009E41F4" w:rsidP="009E41F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Assume that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does not have excess capacity and therefore would lose sales if the frames were sold to the Cycle Division. If the Cycle Division buys 1,000 frames from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, determine the following: (1) effect on the income of the Cycle Division; (2) effect on the income of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FrameBody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; and (3) effect on the income of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TravelVelocity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r w:rsidRPr="009E41F4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(If a net loss, record amount using either a negative sign preceding the number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-45 or parentheses </w:t>
                        </w:r>
                        <w:proofErr w:type="spellStart"/>
                        <w:r w:rsidRPr="009E41F4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E41F4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(45).)</w:t>
                        </w: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6975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2475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Effect of income on the Cycle Division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59" type="#_x0000_t75" style="width:60.75pt;height:18pt" o:ole="">
                                    <v:imagedata r:id="rId6" o:title=""/>
                                  </v:shape>
                                  <w:control r:id="rId10" w:name="DefaultOcxName3" w:shapeid="_x0000_i1059"/>
                                </w:objec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Effect of income of </w:t>
                              </w:r>
                              <w:proofErr w:type="spellStart"/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FrameBody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58" type="#_x0000_t75" style="width:60.75pt;height:18pt" o:ole="">
                                    <v:imagedata r:id="rId6" o:title=""/>
                                  </v:shape>
                                  <w:control r:id="rId11" w:name="DefaultOcxName4" w:shapeid="_x0000_i1058"/>
                                </w:object>
                              </w:r>
                            </w:p>
                          </w:tc>
                        </w:tr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Effect of income of </w:t>
                              </w:r>
                              <w:proofErr w:type="spellStart"/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TravelVelocity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E41F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57" type="#_x0000_t75" style="width:60.75pt;height:18pt" o:ole="">
                                    <v:imagedata r:id="rId6" o:title=""/>
                                  </v:shape>
                                  <w:control r:id="rId12" w:name="DefaultOcxName5" w:shapeid="_x0000_i1057"/>
                                </w:object>
                              </w: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9E41F4" w:rsidRPr="009E41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41F4" w:rsidRPr="009E41F4" w:rsidRDefault="009E41F4" w:rsidP="009E41F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E41F4" w:rsidRPr="009E41F4" w:rsidRDefault="009E41F4" w:rsidP="009E41F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E41F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E41F4" w:rsidRPr="009E41F4" w:rsidRDefault="009E41F4" w:rsidP="009E41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1F4" w:rsidRPr="009E41F4" w:rsidRDefault="009E41F4" w:rsidP="009E41F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41F4" w:rsidRPr="009E41F4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1F4" w:rsidRPr="009E41F4" w:rsidRDefault="009E41F4" w:rsidP="009E41F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9E41F4" w:rsidRPr="009E41F4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9E41F4" w:rsidRPr="009E41F4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9E41F4" w:rsidRPr="009E41F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E41F4" w:rsidRPr="009E41F4" w:rsidRDefault="009E41F4" w:rsidP="009E41F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13" w:history="1">
                          <w:r w:rsidRPr="009E41F4">
                            <w:rPr>
                              <w:rFonts w:ascii="Verdana" w:eastAsia="Times New Roman" w:hAnsi="Verdana" w:cs="Times New Roman"/>
                              <w:color w:val="0033FF"/>
                              <w:sz w:val="17"/>
                              <w:szCs w:val="17"/>
                              <w:u w:val="single"/>
                            </w:rPr>
                            <w:t>Click here if you would like to Show Work for this question</w:t>
                          </w:r>
                        </w:hyperlink>
                      </w:p>
                    </w:tc>
                  </w:tr>
                </w:tbl>
                <w:p w:rsidR="009E41F4" w:rsidRPr="009E41F4" w:rsidRDefault="009E41F4" w:rsidP="009E41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E41F4" w:rsidRPr="009E41F4" w:rsidRDefault="009E41F4" w:rsidP="009E41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CC14DF" w:rsidRDefault="00CC14DF">
      <w:bookmarkStart w:id="1" w:name="_GoBack"/>
      <w:bookmarkEnd w:id="1"/>
    </w:p>
    <w:sectPr w:rsidR="00CC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F4"/>
    <w:rsid w:val="009E41F4"/>
    <w:rsid w:val="00C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1F4"/>
    <w:rPr>
      <w:rFonts w:ascii="Verdana" w:hAnsi="Verdana" w:hint="default"/>
      <w:color w:val="0033FF"/>
      <w:sz w:val="17"/>
      <w:szCs w:val="17"/>
      <w:u w:val="single"/>
    </w:rPr>
  </w:style>
  <w:style w:type="paragraph" w:styleId="NormalWeb">
    <w:name w:val="Normal (Web)"/>
    <w:basedOn w:val="Normal"/>
    <w:uiPriority w:val="99"/>
    <w:unhideWhenUsed/>
    <w:rsid w:val="009E41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9E41F4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1F4"/>
    <w:rPr>
      <w:rFonts w:ascii="Verdana" w:hAnsi="Verdana" w:hint="default"/>
      <w:color w:val="0033FF"/>
      <w:sz w:val="17"/>
      <w:szCs w:val="17"/>
      <w:u w:val="single"/>
    </w:rPr>
  </w:style>
  <w:style w:type="paragraph" w:styleId="NormalWeb">
    <w:name w:val="Normal (Web)"/>
    <w:basedOn w:val="Normal"/>
    <w:uiPriority w:val="99"/>
    <w:unhideWhenUsed/>
    <w:rsid w:val="009E41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9E41F4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void();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1</cp:revision>
  <dcterms:created xsi:type="dcterms:W3CDTF">2011-05-05T04:42:00Z</dcterms:created>
  <dcterms:modified xsi:type="dcterms:W3CDTF">2011-05-05T04:43:00Z</dcterms:modified>
</cp:coreProperties>
</file>