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B" w:rsidRPr="00064982" w:rsidRDefault="00FB7260">
      <w:pPr>
        <w:rPr>
          <w:rFonts w:ascii="Arial" w:hAnsi="Arial" w:cs="Arial"/>
          <w:sz w:val="18"/>
          <w:szCs w:val="18"/>
        </w:rPr>
      </w:pPr>
      <w:r w:rsidRPr="00064982">
        <w:rPr>
          <w:rFonts w:ascii="Arial" w:hAnsi="Arial" w:cs="Arial"/>
          <w:sz w:val="18"/>
          <w:szCs w:val="18"/>
        </w:rPr>
        <w:t>For many years the top-selling luxury car in North America was the Cadillac. It reigned from 1950 to 1998. In 2000, Cadillac sales dropped to half of the sales in 1978. It appeared that it was only popular with older males. Younger males seeking luxury cars shopped elsewhere. Although Cadillac made $700 million in 2000, the company felt it must pick up sales to younger males. To put Cadillac back on top, it is necessary to understand who is buying. A survey of luxury car buyers was undertaken. The following information was gathered from random samples of recent buyers of luxury cars.</w:t>
      </w:r>
    </w:p>
    <w:p w:rsidR="00FB7260" w:rsidRPr="00064982" w:rsidRDefault="00FB7260">
      <w:pPr>
        <w:rPr>
          <w:rFonts w:ascii="Arial" w:hAnsi="Arial" w:cs="Arial"/>
          <w:sz w:val="18"/>
          <w:szCs w:val="18"/>
        </w:rPr>
      </w:pPr>
    </w:p>
    <w:tbl>
      <w:tblPr>
        <w:tblW w:w="0" w:type="auto"/>
        <w:tblBorders>
          <w:top w:val="nil"/>
          <w:left w:val="nil"/>
          <w:bottom w:val="nil"/>
          <w:right w:val="nil"/>
        </w:tblBorders>
        <w:tblLayout w:type="fixed"/>
        <w:tblLook w:val="0000"/>
      </w:tblPr>
      <w:tblGrid>
        <w:gridCol w:w="1724"/>
        <w:gridCol w:w="1724"/>
      </w:tblGrid>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b/>
                <w:bCs/>
                <w:sz w:val="18"/>
                <w:szCs w:val="18"/>
              </w:rPr>
              <w:t xml:space="preserve">Column 1 </w:t>
            </w:r>
          </w:p>
        </w:tc>
        <w:tc>
          <w:tcPr>
            <w:tcW w:w="1724" w:type="dxa"/>
          </w:tcPr>
          <w:p w:rsidR="00FB7260" w:rsidRPr="00064982" w:rsidRDefault="00FB7260">
            <w:pPr>
              <w:pStyle w:val="Default"/>
              <w:rPr>
                <w:sz w:val="18"/>
                <w:szCs w:val="18"/>
              </w:rPr>
            </w:pPr>
            <w:r w:rsidRPr="00064982">
              <w:rPr>
                <w:b/>
                <w:bCs/>
                <w:sz w:val="18"/>
                <w:szCs w:val="18"/>
              </w:rPr>
              <w:t xml:space="preserve">Luxury Car </w:t>
            </w:r>
          </w:p>
        </w:tc>
      </w:tr>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sz w:val="18"/>
                <w:szCs w:val="18"/>
              </w:rPr>
              <w:t xml:space="preserve">1 </w:t>
            </w:r>
          </w:p>
        </w:tc>
        <w:tc>
          <w:tcPr>
            <w:tcW w:w="1724" w:type="dxa"/>
          </w:tcPr>
          <w:p w:rsidR="00FB7260" w:rsidRPr="00064982" w:rsidRDefault="00FB7260">
            <w:pPr>
              <w:pStyle w:val="Default"/>
              <w:rPr>
                <w:sz w:val="18"/>
                <w:szCs w:val="18"/>
              </w:rPr>
            </w:pPr>
            <w:r w:rsidRPr="00064982">
              <w:rPr>
                <w:sz w:val="18"/>
                <w:szCs w:val="18"/>
              </w:rPr>
              <w:t xml:space="preserve">BMW </w:t>
            </w:r>
          </w:p>
        </w:tc>
      </w:tr>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sz w:val="18"/>
                <w:szCs w:val="18"/>
              </w:rPr>
              <w:t xml:space="preserve">2 </w:t>
            </w:r>
          </w:p>
        </w:tc>
        <w:tc>
          <w:tcPr>
            <w:tcW w:w="1724" w:type="dxa"/>
          </w:tcPr>
          <w:p w:rsidR="00FB7260" w:rsidRPr="00064982" w:rsidRDefault="00FB7260">
            <w:pPr>
              <w:pStyle w:val="Default"/>
              <w:rPr>
                <w:sz w:val="18"/>
                <w:szCs w:val="18"/>
              </w:rPr>
            </w:pPr>
            <w:r w:rsidRPr="00064982">
              <w:rPr>
                <w:sz w:val="18"/>
                <w:szCs w:val="18"/>
              </w:rPr>
              <w:t xml:space="preserve">Cadillac </w:t>
            </w:r>
          </w:p>
        </w:tc>
      </w:tr>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sz w:val="18"/>
                <w:szCs w:val="18"/>
              </w:rPr>
              <w:t xml:space="preserve">3 </w:t>
            </w:r>
          </w:p>
        </w:tc>
        <w:tc>
          <w:tcPr>
            <w:tcW w:w="1724" w:type="dxa"/>
          </w:tcPr>
          <w:p w:rsidR="00FB7260" w:rsidRPr="00064982" w:rsidRDefault="00FB7260">
            <w:pPr>
              <w:pStyle w:val="Default"/>
              <w:rPr>
                <w:sz w:val="18"/>
                <w:szCs w:val="18"/>
              </w:rPr>
            </w:pPr>
            <w:r w:rsidRPr="00064982">
              <w:rPr>
                <w:sz w:val="18"/>
                <w:szCs w:val="18"/>
              </w:rPr>
              <w:t xml:space="preserve">Lexus </w:t>
            </w:r>
          </w:p>
        </w:tc>
      </w:tr>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sz w:val="18"/>
                <w:szCs w:val="18"/>
              </w:rPr>
              <w:t xml:space="preserve">4 </w:t>
            </w:r>
          </w:p>
        </w:tc>
        <w:tc>
          <w:tcPr>
            <w:tcW w:w="1724" w:type="dxa"/>
          </w:tcPr>
          <w:p w:rsidR="00FB7260" w:rsidRPr="00064982" w:rsidRDefault="00FB7260">
            <w:pPr>
              <w:pStyle w:val="Default"/>
              <w:rPr>
                <w:sz w:val="18"/>
                <w:szCs w:val="18"/>
              </w:rPr>
            </w:pPr>
            <w:r w:rsidRPr="00064982">
              <w:rPr>
                <w:sz w:val="18"/>
                <w:szCs w:val="18"/>
              </w:rPr>
              <w:t xml:space="preserve">Lincoln </w:t>
            </w:r>
          </w:p>
        </w:tc>
      </w:tr>
      <w:tr w:rsidR="00FB7260" w:rsidRPr="00064982">
        <w:tblPrEx>
          <w:tblCellMar>
            <w:top w:w="0" w:type="dxa"/>
            <w:bottom w:w="0" w:type="dxa"/>
          </w:tblCellMar>
        </w:tblPrEx>
        <w:trPr>
          <w:trHeight w:val="93"/>
        </w:trPr>
        <w:tc>
          <w:tcPr>
            <w:tcW w:w="1724" w:type="dxa"/>
          </w:tcPr>
          <w:p w:rsidR="00FB7260" w:rsidRPr="00064982" w:rsidRDefault="00FB7260">
            <w:pPr>
              <w:pStyle w:val="Default"/>
              <w:rPr>
                <w:sz w:val="18"/>
                <w:szCs w:val="18"/>
              </w:rPr>
            </w:pPr>
            <w:r w:rsidRPr="00064982">
              <w:rPr>
                <w:sz w:val="18"/>
                <w:szCs w:val="18"/>
              </w:rPr>
              <w:t xml:space="preserve">5 </w:t>
            </w:r>
          </w:p>
        </w:tc>
        <w:tc>
          <w:tcPr>
            <w:tcW w:w="1724" w:type="dxa"/>
          </w:tcPr>
          <w:p w:rsidR="00FB7260" w:rsidRPr="00064982" w:rsidRDefault="00FB7260">
            <w:pPr>
              <w:pStyle w:val="Default"/>
              <w:rPr>
                <w:sz w:val="18"/>
                <w:szCs w:val="18"/>
              </w:rPr>
            </w:pPr>
            <w:r w:rsidRPr="00064982">
              <w:rPr>
                <w:sz w:val="18"/>
                <w:szCs w:val="18"/>
              </w:rPr>
              <w:t xml:space="preserve">Mercedes-Benz </w:t>
            </w:r>
          </w:p>
        </w:tc>
      </w:tr>
    </w:tbl>
    <w:p w:rsidR="00FB7260" w:rsidRPr="00064982" w:rsidRDefault="00FB7260">
      <w:pPr>
        <w:rPr>
          <w:rFonts w:ascii="Arial" w:hAnsi="Arial" w:cs="Arial"/>
          <w:sz w:val="18"/>
          <w:szCs w:val="18"/>
        </w:rPr>
      </w:pPr>
    </w:p>
    <w:p w:rsidR="00FB7260" w:rsidRPr="00064982" w:rsidRDefault="00FB7260">
      <w:pPr>
        <w:rPr>
          <w:rFonts w:ascii="Arial" w:hAnsi="Arial" w:cs="Arial"/>
          <w:sz w:val="18"/>
          <w:szCs w:val="18"/>
        </w:rPr>
      </w:pPr>
    </w:p>
    <w:p w:rsidR="00FB7260" w:rsidRPr="00064982" w:rsidRDefault="00FB7260">
      <w:pPr>
        <w:rPr>
          <w:rFonts w:ascii="Arial" w:hAnsi="Arial" w:cs="Arial"/>
          <w:sz w:val="18"/>
          <w:szCs w:val="18"/>
        </w:rPr>
      </w:pPr>
    </w:p>
    <w:p w:rsidR="00FB7260" w:rsidRPr="00064982" w:rsidRDefault="00FB7260">
      <w:pPr>
        <w:rPr>
          <w:rFonts w:ascii="Arial" w:hAnsi="Arial" w:cs="Arial"/>
          <w:sz w:val="18"/>
          <w:szCs w:val="18"/>
        </w:rPr>
      </w:pPr>
      <w:r w:rsidRPr="00064982">
        <w:rPr>
          <w:rFonts w:ascii="Arial" w:hAnsi="Arial" w:cs="Arial"/>
          <w:sz w:val="18"/>
          <w:szCs w:val="18"/>
        </w:rPr>
        <w:t xml:space="preserve">File CO4-03 contains the ages of the buyers, their household incomes, and the number of years of education. In the data set columns 1 to 5 contain the ages of the owners of the five luxury cars, </w:t>
      </w:r>
      <w:r w:rsidR="00064982" w:rsidRPr="00064982">
        <w:rPr>
          <w:rFonts w:ascii="Arial" w:hAnsi="Arial" w:cs="Arial"/>
          <w:sz w:val="18"/>
          <w:szCs w:val="18"/>
        </w:rPr>
        <w:t>columns</w:t>
      </w:r>
      <w:r w:rsidRPr="00064982">
        <w:rPr>
          <w:rFonts w:ascii="Arial" w:hAnsi="Arial" w:cs="Arial"/>
          <w:sz w:val="18"/>
          <w:szCs w:val="18"/>
        </w:rPr>
        <w:t xml:space="preserve"> 6 to 10 show their household incomes, and </w:t>
      </w:r>
      <w:r w:rsidR="00064982" w:rsidRPr="00064982">
        <w:rPr>
          <w:rFonts w:ascii="Arial" w:hAnsi="Arial" w:cs="Arial"/>
          <w:sz w:val="18"/>
          <w:szCs w:val="18"/>
        </w:rPr>
        <w:t>columns</w:t>
      </w:r>
      <w:r w:rsidRPr="00064982">
        <w:rPr>
          <w:rFonts w:ascii="Arial" w:hAnsi="Arial" w:cs="Arial"/>
          <w:sz w:val="18"/>
          <w:szCs w:val="18"/>
        </w:rPr>
        <w:t xml:space="preserve"> 11 to 15 store their years of education.</w:t>
      </w:r>
    </w:p>
    <w:p w:rsidR="00FB7260" w:rsidRPr="00064982" w:rsidRDefault="00FB7260" w:rsidP="00FB7260">
      <w:pPr>
        <w:pStyle w:val="Default"/>
        <w:rPr>
          <w:sz w:val="18"/>
          <w:szCs w:val="18"/>
        </w:rPr>
      </w:pPr>
    </w:p>
    <w:p w:rsidR="00FB7260" w:rsidRPr="00064982" w:rsidRDefault="00FB7260" w:rsidP="00FB7260">
      <w:pPr>
        <w:pStyle w:val="Default"/>
        <w:rPr>
          <w:sz w:val="18"/>
          <w:szCs w:val="18"/>
        </w:rPr>
      </w:pPr>
      <w:r w:rsidRPr="00064982">
        <w:rPr>
          <w:sz w:val="18"/>
          <w:szCs w:val="18"/>
        </w:rPr>
        <w:t xml:space="preserve">a) Use statistics to describe the ages, household incomes, and education of the five groups of car buyers. </w:t>
      </w:r>
    </w:p>
    <w:p w:rsidR="00FB7260" w:rsidRPr="00064982" w:rsidRDefault="00FB7260">
      <w:pPr>
        <w:rPr>
          <w:rFonts w:ascii="Arial" w:hAnsi="Arial" w:cs="Arial"/>
          <w:sz w:val="18"/>
          <w:szCs w:val="18"/>
        </w:rPr>
      </w:pPr>
    </w:p>
    <w:p w:rsidR="00FB7260" w:rsidRPr="00064982" w:rsidRDefault="00FB7260">
      <w:pPr>
        <w:rPr>
          <w:rFonts w:ascii="Arial" w:hAnsi="Arial" w:cs="Arial"/>
          <w:sz w:val="18"/>
          <w:szCs w:val="18"/>
        </w:rPr>
      </w:pPr>
      <w:r w:rsidRPr="00064982">
        <w:rPr>
          <w:rFonts w:ascii="Arial" w:hAnsi="Arial" w:cs="Arial"/>
          <w:sz w:val="18"/>
          <w:szCs w:val="18"/>
        </w:rPr>
        <w:t>b) Use box plots to compare the ages, household incomes, and education of the five groups of car buyers.</w:t>
      </w:r>
    </w:p>
    <w:p w:rsidR="00FB7260" w:rsidRPr="00064982" w:rsidRDefault="00FB7260" w:rsidP="00FB7260">
      <w:pPr>
        <w:pStyle w:val="Default"/>
        <w:rPr>
          <w:sz w:val="18"/>
          <w:szCs w:val="18"/>
        </w:rPr>
      </w:pPr>
    </w:p>
    <w:p w:rsidR="00FB7260" w:rsidRPr="00064982" w:rsidRDefault="00FB7260" w:rsidP="00FB7260">
      <w:pPr>
        <w:pStyle w:val="Default"/>
        <w:rPr>
          <w:sz w:val="18"/>
          <w:szCs w:val="18"/>
        </w:rPr>
      </w:pPr>
      <w:r w:rsidRPr="00064982">
        <w:rPr>
          <w:sz w:val="18"/>
          <w:szCs w:val="18"/>
        </w:rPr>
        <w:t xml:space="preserve">c) Write a brief report describing your findings. </w:t>
      </w:r>
    </w:p>
    <w:p w:rsidR="00064982" w:rsidRPr="00064982" w:rsidRDefault="00064982">
      <w:pPr>
        <w:rPr>
          <w:rFonts w:ascii="Arial" w:hAnsi="Arial" w:cs="Arial"/>
          <w:sz w:val="18"/>
          <w:szCs w:val="18"/>
        </w:rPr>
      </w:pPr>
    </w:p>
    <w:sectPr w:rsidR="00064982" w:rsidRPr="00064982" w:rsidSect="004A4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260"/>
    <w:rsid w:val="00064982"/>
    <w:rsid w:val="004A4F4B"/>
    <w:rsid w:val="00FB7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2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Ishrat Karimul</dc:creator>
  <cp:lastModifiedBy>Abu Ishrat Karimul</cp:lastModifiedBy>
  <cp:revision>1</cp:revision>
  <dcterms:created xsi:type="dcterms:W3CDTF">2011-05-04T07:40:00Z</dcterms:created>
  <dcterms:modified xsi:type="dcterms:W3CDTF">2011-05-04T07:54:00Z</dcterms:modified>
</cp:coreProperties>
</file>