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</w:tblGrid>
      <w:tr w:rsidR="00A41B83" w:rsidRPr="00A41B83">
        <w:trPr>
          <w:tblCellSpacing w:w="7" w:type="dxa"/>
        </w:trPr>
        <w:tc>
          <w:tcPr>
            <w:tcW w:w="1800" w:type="dxa"/>
            <w:hideMark/>
          </w:tcPr>
          <w:p w:rsidR="00A41B83" w:rsidRPr="00A41B83" w:rsidRDefault="00A41B83" w:rsidP="00A41B83">
            <w:pPr>
              <w:spacing w:line="177" w:lineRule="atLeast"/>
              <w:jc w:val="right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E11 – 5 Depreciation methods</w:t>
            </w:r>
          </w:p>
        </w:tc>
      </w:tr>
    </w:tbl>
    <w:p w:rsidR="00A41B83" w:rsidRPr="00A41B83" w:rsidRDefault="00A41B83" w:rsidP="00A41B83">
      <w:pPr>
        <w:spacing w:before="100" w:beforeAutospacing="1" w:after="100" w:afterAutospacing="1" w:line="177" w:lineRule="atLeast"/>
        <w:rPr>
          <w:rFonts w:ascii="Helvetica" w:hAnsi="Helvetica" w:cs="Helvetica"/>
          <w:color w:val="333333"/>
          <w:sz w:val="12"/>
          <w:szCs w:val="12"/>
        </w:rPr>
      </w:pPr>
      <w:r w:rsidRPr="00A41B83">
        <w:rPr>
          <w:rFonts w:ascii="Helvetica" w:hAnsi="Helvetica" w:cs="Helvetica"/>
          <w:color w:val="333333"/>
          <w:sz w:val="12"/>
          <w:szCs w:val="12"/>
        </w:rPr>
        <w:t>For each of the following depreciable assets, determine the missing amount (?). Abbreviations for depreciation methods are SL for straight line, SYD for sum-of-the-years' digits, and DDB for double-declining balance.</w:t>
      </w:r>
    </w:p>
    <w:p w:rsidR="00A41B83" w:rsidRPr="00A41B83" w:rsidRDefault="00A41B83" w:rsidP="00A41B83">
      <w:pPr>
        <w:spacing w:before="100" w:beforeAutospacing="1" w:after="100" w:afterAutospacing="1" w:line="177" w:lineRule="atLeast"/>
        <w:rPr>
          <w:rFonts w:ascii="Helvetica" w:hAnsi="Helvetica" w:cs="Helvetica"/>
          <w:color w:val="333333"/>
          <w:sz w:val="12"/>
          <w:szCs w:val="12"/>
        </w:rPr>
      </w:pPr>
      <w:bookmarkStart w:id="0" w:name="id_0078110831_001_044998"/>
      <w:bookmarkEnd w:id="0"/>
      <w:r>
        <w:rPr>
          <w:rFonts w:ascii="Helvetica" w:hAnsi="Helvetica" w:cs="Helvetica"/>
          <w:noProof/>
          <w:color w:val="333333"/>
          <w:sz w:val="12"/>
          <w:szCs w:val="12"/>
        </w:rPr>
        <w:drawing>
          <wp:inline distT="0" distB="0" distL="0" distR="0">
            <wp:extent cx="4134485" cy="1217295"/>
            <wp:effectExtent l="19050" t="0" r="0" b="0"/>
            <wp:docPr id="1" name="Picture 1" descr="http://connect.mcgraw-hill.com/sites/dl/premium/0077328787/student/5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nect.mcgraw-hill.com/sites/dl/premium/0077328787/student/599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9E" w:rsidRDefault="002C3A9E"/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78"/>
        <w:gridCol w:w="5875"/>
        <w:gridCol w:w="78"/>
        <w:gridCol w:w="1717"/>
      </w:tblGrid>
      <w:tr w:rsidR="00A41B83" w:rsidRPr="00A41B83">
        <w:trPr>
          <w:tblCellSpacing w:w="7" w:type="dxa"/>
        </w:trPr>
        <w:tc>
          <w:tcPr>
            <w:tcW w:w="975" w:type="dxa"/>
            <w:hideMark/>
          </w:tcPr>
          <w:p w:rsidR="00A41B83" w:rsidRPr="00A41B83" w:rsidRDefault="00A41B83" w:rsidP="00A41B83">
            <w:pPr>
              <w:spacing w:before="100" w:beforeAutospacing="1" w:after="100" w:afterAutospacing="1" w:line="177" w:lineRule="atLeast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 w:rsidRPr="00A41B83">
              <w:rPr>
                <w:rFonts w:ascii="Helvetica" w:hAnsi="Helvetica" w:cs="Helvetica"/>
                <w:b/>
                <w:bCs/>
                <w:color w:val="D06039"/>
                <w:sz w:val="12"/>
                <w:szCs w:val="12"/>
              </w:rPr>
              <w:t>E 11-10</w:t>
            </w:r>
          </w:p>
        </w:tc>
        <w:tc>
          <w:tcPr>
            <w:tcW w:w="15" w:type="dxa"/>
            <w:hideMark/>
          </w:tcPr>
          <w:p w:rsidR="00A41B83" w:rsidRPr="00A41B83" w:rsidRDefault="00A41B83" w:rsidP="00A41B83">
            <w:pPr>
              <w:spacing w:line="177" w:lineRule="atLeast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 w:rsidRPr="00A41B83">
              <w:rPr>
                <w:rFonts w:ascii="Helvetica" w:hAnsi="Helvetica" w:cs="Helvetica"/>
                <w:color w:val="333333"/>
                <w:sz w:val="12"/>
                <w:szCs w:val="12"/>
              </w:rPr>
              <w:t> </w:t>
            </w:r>
          </w:p>
        </w:tc>
        <w:tc>
          <w:tcPr>
            <w:tcW w:w="6195" w:type="dxa"/>
            <w:hideMark/>
          </w:tcPr>
          <w:p w:rsidR="00A41B83" w:rsidRPr="00A41B83" w:rsidRDefault="00A41B83" w:rsidP="00A41B83">
            <w:pPr>
              <w:spacing w:before="100" w:beforeAutospacing="1" w:after="100" w:afterAutospacing="1" w:line="177" w:lineRule="atLeast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 w:rsidRPr="00A41B83">
              <w:rPr>
                <w:rFonts w:ascii="Helvetica" w:hAnsi="Helvetica" w:cs="Helvetica"/>
                <w:color w:val="333333"/>
                <w:sz w:val="12"/>
                <w:szCs w:val="12"/>
              </w:rPr>
              <w:t>Double-declining-balance method; switch to straight line</w:t>
            </w:r>
          </w:p>
        </w:tc>
        <w:tc>
          <w:tcPr>
            <w:tcW w:w="15" w:type="dxa"/>
            <w:hideMark/>
          </w:tcPr>
          <w:p w:rsidR="00A41B83" w:rsidRPr="00A41B83" w:rsidRDefault="00A41B83" w:rsidP="00A41B83">
            <w:pPr>
              <w:spacing w:line="177" w:lineRule="atLeast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 w:rsidRPr="00A41B83">
              <w:rPr>
                <w:rFonts w:ascii="Helvetica" w:hAnsi="Helvetica" w:cs="Helvetica"/>
                <w:color w:val="333333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41B83" w:rsidRPr="00A41B83" w:rsidRDefault="00A41B83" w:rsidP="00A41B83">
            <w:pPr>
              <w:spacing w:line="177" w:lineRule="atLeast"/>
              <w:jc w:val="right"/>
              <w:rPr>
                <w:rFonts w:ascii="Helvetica" w:hAnsi="Helvetica" w:cs="Helvetica"/>
                <w:color w:val="333333"/>
                <w:sz w:val="12"/>
                <w:szCs w:val="12"/>
              </w:rPr>
            </w:pPr>
          </w:p>
        </w:tc>
      </w:tr>
    </w:tbl>
    <w:p w:rsidR="00A41B83" w:rsidRPr="00A41B83" w:rsidRDefault="00A41B83" w:rsidP="00A41B83">
      <w:pPr>
        <w:spacing w:before="100" w:beforeAutospacing="1" w:after="100" w:afterAutospacing="1" w:line="177" w:lineRule="atLeast"/>
        <w:rPr>
          <w:rFonts w:ascii="Helvetica" w:hAnsi="Helvetica" w:cs="Helvetica"/>
          <w:color w:val="333333"/>
          <w:sz w:val="12"/>
          <w:szCs w:val="12"/>
        </w:rPr>
      </w:pPr>
      <w:r w:rsidRPr="00A41B83">
        <w:rPr>
          <w:rFonts w:ascii="Helvetica" w:hAnsi="Helvetica" w:cs="Helvetica"/>
          <w:color w:val="333333"/>
          <w:sz w:val="12"/>
          <w:szCs w:val="12"/>
        </w:rPr>
        <w:t>On January 2, 2011, the Jackson Company purchased equipment to be used in its manufacturing process. The equipment has an estimated life of eight years and an estimated residual value of $30,625. The expenditures made to acquire the asset were as follows:</w:t>
      </w:r>
    </w:p>
    <w:p w:rsidR="00A41B83" w:rsidRPr="00A41B83" w:rsidRDefault="00A41B83" w:rsidP="00A41B83">
      <w:pPr>
        <w:spacing w:before="100" w:beforeAutospacing="1" w:after="100" w:afterAutospacing="1" w:line="177" w:lineRule="atLeast"/>
        <w:rPr>
          <w:rFonts w:ascii="Helvetica" w:hAnsi="Helvetica" w:cs="Helvetica"/>
          <w:color w:val="333333"/>
          <w:sz w:val="12"/>
          <w:szCs w:val="12"/>
        </w:rPr>
      </w:pPr>
      <w:bookmarkStart w:id="1" w:name="id_0078110831_001_045117"/>
      <w:bookmarkEnd w:id="1"/>
      <w:r>
        <w:rPr>
          <w:rFonts w:ascii="Helvetica" w:hAnsi="Helvetica" w:cs="Helvetica"/>
          <w:noProof/>
          <w:color w:val="333333"/>
          <w:sz w:val="12"/>
          <w:szCs w:val="12"/>
        </w:rPr>
        <w:drawing>
          <wp:inline distT="0" distB="0" distL="0" distR="0">
            <wp:extent cx="2933700" cy="639445"/>
            <wp:effectExtent l="19050" t="0" r="0" b="0"/>
            <wp:docPr id="3" name="Picture 3" descr="http://connect.mcgraw-hill.com/sites/dl/premium/0077328787/student/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nect.mcgraw-hill.com/sites/dl/premium/0077328787/student/600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83" w:rsidRPr="00A41B83" w:rsidRDefault="00A41B83" w:rsidP="00A41B83">
      <w:pPr>
        <w:spacing w:before="100" w:beforeAutospacing="1" w:after="100" w:afterAutospacing="1" w:line="177" w:lineRule="atLeast"/>
        <w:rPr>
          <w:rFonts w:ascii="Helvetica" w:hAnsi="Helvetica" w:cs="Helvetica"/>
          <w:color w:val="333333"/>
          <w:sz w:val="12"/>
          <w:szCs w:val="12"/>
        </w:rPr>
      </w:pPr>
      <w:r w:rsidRPr="00A41B83">
        <w:rPr>
          <w:rFonts w:ascii="Helvetica" w:hAnsi="Helvetica" w:cs="Helvetica"/>
          <w:color w:val="333333"/>
          <w:sz w:val="12"/>
          <w:szCs w:val="12"/>
        </w:rPr>
        <w:t>Jackson's policy is to use the double-declining-balance (DDB) method of depreciation in the early years of the equipment's life and then switch to straight line halfway through the equipment's life.</w:t>
      </w:r>
    </w:p>
    <w:p w:rsidR="00A41B83" w:rsidRPr="00A41B83" w:rsidRDefault="00A41B83" w:rsidP="00A41B83">
      <w:pPr>
        <w:spacing w:before="100" w:beforeAutospacing="1" w:after="100" w:afterAutospacing="1" w:line="177" w:lineRule="atLeast"/>
        <w:rPr>
          <w:rFonts w:ascii="Helvetica" w:hAnsi="Helvetica" w:cs="Helvetica"/>
          <w:color w:val="333333"/>
          <w:sz w:val="12"/>
          <w:szCs w:val="12"/>
        </w:rPr>
      </w:pPr>
      <w:r w:rsidRPr="00A41B83">
        <w:rPr>
          <w:rFonts w:ascii="Helvetica" w:hAnsi="Helvetica" w:cs="Helvetica"/>
          <w:b/>
          <w:bCs/>
          <w:color w:val="D06039"/>
          <w:sz w:val="12"/>
          <w:szCs w:val="12"/>
        </w:rPr>
        <w:t>Required: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"/>
        <w:gridCol w:w="78"/>
        <w:gridCol w:w="3840"/>
      </w:tblGrid>
      <w:tr w:rsidR="00A41B83" w:rsidRPr="00A41B83">
        <w:trPr>
          <w:tblCellSpacing w:w="7" w:type="dxa"/>
        </w:trPr>
        <w:tc>
          <w:tcPr>
            <w:tcW w:w="0" w:type="auto"/>
            <w:hideMark/>
          </w:tcPr>
          <w:p w:rsidR="00A41B83" w:rsidRPr="00A41B83" w:rsidRDefault="00A41B83" w:rsidP="00A41B83">
            <w:pPr>
              <w:spacing w:before="100" w:beforeAutospacing="1" w:after="100" w:afterAutospacing="1" w:line="177" w:lineRule="atLeast"/>
              <w:jc w:val="right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 w:rsidRPr="00A41B83">
              <w:rPr>
                <w:rFonts w:ascii="Helvetica" w:hAnsi="Helvetica" w:cs="Helvetica"/>
                <w:color w:val="000000"/>
                <w:sz w:val="12"/>
                <w:szCs w:val="12"/>
              </w:rPr>
              <w:t>1.</w:t>
            </w:r>
          </w:p>
        </w:tc>
        <w:tc>
          <w:tcPr>
            <w:tcW w:w="0" w:type="auto"/>
            <w:hideMark/>
          </w:tcPr>
          <w:p w:rsidR="00A41B83" w:rsidRPr="00A41B83" w:rsidRDefault="00A41B83" w:rsidP="00A41B83">
            <w:pPr>
              <w:spacing w:line="177" w:lineRule="atLeast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 w:rsidRPr="00A41B83">
              <w:rPr>
                <w:rFonts w:ascii="Helvetica" w:hAnsi="Helvetica" w:cs="Helvetica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hideMark/>
          </w:tcPr>
          <w:p w:rsidR="00A41B83" w:rsidRPr="00A41B83" w:rsidRDefault="00A41B83" w:rsidP="00A41B83">
            <w:pPr>
              <w:spacing w:before="100" w:beforeAutospacing="1" w:after="100" w:afterAutospacing="1" w:line="177" w:lineRule="atLeast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 w:rsidRPr="00A41B83">
              <w:rPr>
                <w:rFonts w:ascii="Helvetica" w:hAnsi="Helvetica" w:cs="Helvetica"/>
                <w:color w:val="333333"/>
                <w:sz w:val="12"/>
                <w:szCs w:val="12"/>
              </w:rPr>
              <w:t>Calculate depreciation for each year of the asset's eight-year life.</w:t>
            </w:r>
          </w:p>
        </w:tc>
      </w:tr>
      <w:tr w:rsidR="00A41B83" w:rsidRPr="00A41B83">
        <w:trPr>
          <w:tblCellSpacing w:w="7" w:type="dxa"/>
        </w:trPr>
        <w:tc>
          <w:tcPr>
            <w:tcW w:w="0" w:type="auto"/>
            <w:hideMark/>
          </w:tcPr>
          <w:p w:rsidR="00A41B83" w:rsidRPr="00A41B83" w:rsidRDefault="00A41B83" w:rsidP="00A41B83">
            <w:pPr>
              <w:spacing w:before="100" w:beforeAutospacing="1" w:after="100" w:afterAutospacing="1" w:line="177" w:lineRule="atLeast"/>
              <w:jc w:val="right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 w:rsidRPr="00A41B83">
              <w:rPr>
                <w:rFonts w:ascii="Helvetica" w:hAnsi="Helvetica" w:cs="Helvetica"/>
                <w:color w:val="000000"/>
                <w:sz w:val="12"/>
                <w:szCs w:val="12"/>
              </w:rPr>
              <w:t>2.</w:t>
            </w:r>
          </w:p>
        </w:tc>
        <w:tc>
          <w:tcPr>
            <w:tcW w:w="0" w:type="auto"/>
            <w:hideMark/>
          </w:tcPr>
          <w:p w:rsidR="00A41B83" w:rsidRPr="00A41B83" w:rsidRDefault="00A41B83" w:rsidP="00A41B83">
            <w:pPr>
              <w:spacing w:line="177" w:lineRule="atLeast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 w:rsidRPr="00A41B83">
              <w:rPr>
                <w:rFonts w:ascii="Helvetica" w:hAnsi="Helvetica" w:cs="Helvetica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hideMark/>
          </w:tcPr>
          <w:p w:rsidR="00A41B83" w:rsidRPr="00A41B83" w:rsidRDefault="00A41B83" w:rsidP="00A41B83">
            <w:pPr>
              <w:spacing w:before="100" w:beforeAutospacing="1" w:after="100" w:afterAutospacing="1" w:line="177" w:lineRule="atLeast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 w:rsidRPr="00A41B83">
              <w:rPr>
                <w:rFonts w:ascii="Helvetica" w:hAnsi="Helvetica" w:cs="Helvetica"/>
                <w:color w:val="333333"/>
                <w:sz w:val="12"/>
                <w:szCs w:val="12"/>
              </w:rPr>
              <w:t>Discuss the accounting treatment of the depreciation on the equipment.</w:t>
            </w:r>
          </w:p>
        </w:tc>
      </w:tr>
    </w:tbl>
    <w:p w:rsidR="00A41B83" w:rsidRDefault="00A41B83"/>
    <w:sectPr w:rsidR="00A41B83" w:rsidSect="002C3A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characterSpacingControl w:val="doNotCompress"/>
  <w:compat/>
  <w:rsids>
    <w:rsidRoot w:val="00A41B83"/>
    <w:rsid w:val="0001409E"/>
    <w:rsid w:val="00066E80"/>
    <w:rsid w:val="000909A1"/>
    <w:rsid w:val="000C6071"/>
    <w:rsid w:val="000D3D03"/>
    <w:rsid w:val="000D6C05"/>
    <w:rsid w:val="00160BCD"/>
    <w:rsid w:val="001831B3"/>
    <w:rsid w:val="00195D0B"/>
    <w:rsid w:val="001966D9"/>
    <w:rsid w:val="001A13E1"/>
    <w:rsid w:val="001E3BC6"/>
    <w:rsid w:val="001E67A0"/>
    <w:rsid w:val="00202E5A"/>
    <w:rsid w:val="00210AE1"/>
    <w:rsid w:val="002A5B39"/>
    <w:rsid w:val="002C3A9E"/>
    <w:rsid w:val="00303F52"/>
    <w:rsid w:val="00306501"/>
    <w:rsid w:val="00314046"/>
    <w:rsid w:val="003347FF"/>
    <w:rsid w:val="00351B17"/>
    <w:rsid w:val="003832BF"/>
    <w:rsid w:val="003B76F8"/>
    <w:rsid w:val="003B7AF0"/>
    <w:rsid w:val="003C5162"/>
    <w:rsid w:val="003D3C25"/>
    <w:rsid w:val="003D73ED"/>
    <w:rsid w:val="003E3487"/>
    <w:rsid w:val="004247D8"/>
    <w:rsid w:val="0044463A"/>
    <w:rsid w:val="00446398"/>
    <w:rsid w:val="00447528"/>
    <w:rsid w:val="00485435"/>
    <w:rsid w:val="004B7621"/>
    <w:rsid w:val="004E2586"/>
    <w:rsid w:val="004F70D6"/>
    <w:rsid w:val="0052576D"/>
    <w:rsid w:val="00545125"/>
    <w:rsid w:val="005C7B89"/>
    <w:rsid w:val="0060689C"/>
    <w:rsid w:val="00613C58"/>
    <w:rsid w:val="00615476"/>
    <w:rsid w:val="00695F44"/>
    <w:rsid w:val="006A30A6"/>
    <w:rsid w:val="006F571D"/>
    <w:rsid w:val="00717DAE"/>
    <w:rsid w:val="007211FF"/>
    <w:rsid w:val="00734694"/>
    <w:rsid w:val="00737C2D"/>
    <w:rsid w:val="00747751"/>
    <w:rsid w:val="00765BFA"/>
    <w:rsid w:val="007867A3"/>
    <w:rsid w:val="00792A69"/>
    <w:rsid w:val="007B739D"/>
    <w:rsid w:val="007F7B5F"/>
    <w:rsid w:val="00884F0F"/>
    <w:rsid w:val="008D56C2"/>
    <w:rsid w:val="008E59D5"/>
    <w:rsid w:val="00A17471"/>
    <w:rsid w:val="00A17989"/>
    <w:rsid w:val="00A41B83"/>
    <w:rsid w:val="00A60E4D"/>
    <w:rsid w:val="00A95A7A"/>
    <w:rsid w:val="00B22772"/>
    <w:rsid w:val="00B23C1F"/>
    <w:rsid w:val="00B513BE"/>
    <w:rsid w:val="00B70401"/>
    <w:rsid w:val="00B756A2"/>
    <w:rsid w:val="00BF6DF7"/>
    <w:rsid w:val="00C12EBB"/>
    <w:rsid w:val="00C22728"/>
    <w:rsid w:val="00C32A54"/>
    <w:rsid w:val="00C54359"/>
    <w:rsid w:val="00C726B6"/>
    <w:rsid w:val="00C76E97"/>
    <w:rsid w:val="00C84A40"/>
    <w:rsid w:val="00CB000A"/>
    <w:rsid w:val="00CB27E8"/>
    <w:rsid w:val="00CC7339"/>
    <w:rsid w:val="00CE33AD"/>
    <w:rsid w:val="00D22F6A"/>
    <w:rsid w:val="00D731A4"/>
    <w:rsid w:val="00DC0152"/>
    <w:rsid w:val="00DC326C"/>
    <w:rsid w:val="00E07BAE"/>
    <w:rsid w:val="00E2604C"/>
    <w:rsid w:val="00E267C2"/>
    <w:rsid w:val="00E45150"/>
    <w:rsid w:val="00E454C0"/>
    <w:rsid w:val="00E546D9"/>
    <w:rsid w:val="00E859C9"/>
    <w:rsid w:val="00EA5107"/>
    <w:rsid w:val="00F1624A"/>
    <w:rsid w:val="00F2210E"/>
    <w:rsid w:val="00F31C10"/>
    <w:rsid w:val="00F356A5"/>
    <w:rsid w:val="00F412FA"/>
    <w:rsid w:val="00F54EAF"/>
    <w:rsid w:val="00F60CD9"/>
    <w:rsid w:val="00F73999"/>
    <w:rsid w:val="00FB0AA8"/>
    <w:rsid w:val="00FB138E"/>
    <w:rsid w:val="00FB53F0"/>
    <w:rsid w:val="00FB6875"/>
    <w:rsid w:val="00FD1C0B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B83"/>
    <w:rPr>
      <w:strike w:val="0"/>
      <w:dstrike w:val="0"/>
      <w:color w:val="1086D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41B8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41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1</cp:revision>
  <dcterms:created xsi:type="dcterms:W3CDTF">2011-04-14T22:11:00Z</dcterms:created>
  <dcterms:modified xsi:type="dcterms:W3CDTF">2011-04-14T22:14:00Z</dcterms:modified>
</cp:coreProperties>
</file>