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08" w:rsidRDefault="00D30108" w:rsidP="00062F77">
      <w:pPr>
        <w:widowControl/>
        <w:rPr>
          <w:rFonts w:eastAsiaTheme="minorHAnsi"/>
          <w:b/>
          <w:color w:val="000000"/>
        </w:rPr>
      </w:pPr>
      <w:bookmarkStart w:id="0" w:name="_GoBack"/>
      <w:bookmarkEnd w:id="0"/>
      <w:r>
        <w:rPr>
          <w:rFonts w:eastAsiaTheme="minorHAnsi"/>
          <w:b/>
          <w:color w:val="000000"/>
        </w:rPr>
        <w:t>Question 1</w:t>
      </w:r>
    </w:p>
    <w:p w:rsidR="00062F77" w:rsidRPr="00477004" w:rsidRDefault="00062F77" w:rsidP="00062F77">
      <w:pPr>
        <w:widowControl/>
        <w:rPr>
          <w:rFonts w:eastAsiaTheme="minorHAnsi"/>
          <w:b/>
          <w:color w:val="000000"/>
        </w:rPr>
      </w:pPr>
      <w:r w:rsidRPr="00477004">
        <w:rPr>
          <w:rFonts w:eastAsiaTheme="minorHAnsi"/>
          <w:b/>
          <w:color w:val="000000"/>
        </w:rPr>
        <w:t>15-44 Earnings Statement, Retained Earnings</w:t>
      </w:r>
    </w:p>
    <w:p w:rsidR="00062F77" w:rsidRPr="00477004" w:rsidRDefault="00062F77" w:rsidP="00062F77">
      <w:pPr>
        <w:widowControl/>
        <w:rPr>
          <w:rFonts w:eastAsia="TimesNewRomanPS"/>
          <w:color w:val="000000"/>
        </w:rPr>
      </w:pPr>
      <w:r w:rsidRPr="00477004">
        <w:rPr>
          <w:rFonts w:eastAsiaTheme="minorHAnsi"/>
          <w:bCs/>
          <w:color w:val="000000"/>
        </w:rPr>
        <w:t xml:space="preserve">Colgate-Palmolive Company </w:t>
      </w:r>
      <w:r w:rsidRPr="00477004">
        <w:rPr>
          <w:rFonts w:eastAsia="TimesNewRomanPS"/>
          <w:color w:val="000000"/>
        </w:rPr>
        <w:t>has many well-known products, including Colgate toothpaste, Speed</w:t>
      </w:r>
      <w:r w:rsidR="00477004">
        <w:rPr>
          <w:rFonts w:eastAsia="TimesNewRomanPS"/>
          <w:color w:val="000000"/>
        </w:rPr>
        <w:t xml:space="preserve"> </w:t>
      </w:r>
      <w:r w:rsidRPr="00477004">
        <w:rPr>
          <w:rFonts w:eastAsia="TimesNewRomanPS"/>
          <w:color w:val="000000"/>
        </w:rPr>
        <w:t xml:space="preserve">Stick deodorants, </w:t>
      </w:r>
      <w:proofErr w:type="spellStart"/>
      <w:r w:rsidRPr="00477004">
        <w:rPr>
          <w:rFonts w:eastAsia="TimesNewRomanPS"/>
          <w:color w:val="000000"/>
        </w:rPr>
        <w:t>Softsoap</w:t>
      </w:r>
      <w:proofErr w:type="spellEnd"/>
      <w:r w:rsidRPr="00477004">
        <w:rPr>
          <w:rFonts w:eastAsia="TimesNewRomanPS"/>
          <w:color w:val="000000"/>
        </w:rPr>
        <w:t>, and Irish Spring soaps. The following is a reproduction of the terms and amounts in the financial statements contained in the company’s annual report for the fiscal year ended</w:t>
      </w:r>
      <w:r w:rsidR="00477004">
        <w:rPr>
          <w:rFonts w:eastAsia="TimesNewRomanPS"/>
          <w:color w:val="000000"/>
        </w:rPr>
        <w:t xml:space="preserve"> </w:t>
      </w:r>
      <w:r w:rsidRPr="00477004">
        <w:rPr>
          <w:rFonts w:eastAsia="TimesNewRomanPS"/>
          <w:color w:val="000000"/>
        </w:rPr>
        <w:t>December 31, 2005 (in millions):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>Net sales $11,396.9</w:t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  <w:t>Retained earnings at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 xml:space="preserve">Cash 340.7 </w:t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  <w:t>beginning of year $8,223.9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 xml:space="preserve">Interest and other expense 136.0 </w:t>
      </w:r>
      <w:r w:rsidRPr="00477004">
        <w:rPr>
          <w:rFonts w:eastAsia="FranklinGothic-Book"/>
          <w:color w:val="000000"/>
        </w:rPr>
        <w:tab/>
        <w:t>Cost of sales 5,191.9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 xml:space="preserve">Income taxes 727.6 </w:t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  <w:t>Dividends declared 607.2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 xml:space="preserve">Accounts payable 876.1 </w:t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  <w:t xml:space="preserve">Selling, general, and </w:t>
      </w:r>
    </w:p>
    <w:p w:rsidR="00062F77" w:rsidRPr="00477004" w:rsidRDefault="00062F77" w:rsidP="00477004">
      <w:pPr>
        <w:widowControl/>
        <w:ind w:left="720"/>
        <w:rPr>
          <w:rFonts w:eastAsia="FranklinGothic-Book"/>
          <w:color w:val="000000"/>
        </w:rPr>
      </w:pPr>
      <w:r w:rsidRPr="00477004">
        <w:rPr>
          <w:rFonts w:eastAsia="FranklinGothic-Book"/>
          <w:color w:val="000000"/>
        </w:rPr>
        <w:t xml:space="preserve">Other expenses 69.2 </w:t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</w:r>
      <w:r w:rsidRPr="00477004">
        <w:rPr>
          <w:rFonts w:eastAsia="FranklinGothic-Book"/>
          <w:color w:val="000000"/>
        </w:rPr>
        <w:tab/>
        <w:t xml:space="preserve">  administrative expenses 3,920.8</w:t>
      </w:r>
    </w:p>
    <w:p w:rsidR="00062F77" w:rsidRPr="00477004" w:rsidRDefault="00062F77" w:rsidP="00062F77">
      <w:pPr>
        <w:widowControl/>
        <w:rPr>
          <w:rFonts w:eastAsiaTheme="minorHAnsi"/>
          <w:color w:val="FFFFFF"/>
        </w:rPr>
      </w:pPr>
      <w:r w:rsidRPr="00477004">
        <w:rPr>
          <w:rFonts w:eastAsiaTheme="minorHAnsi"/>
          <w:color w:val="FFFFFF"/>
        </w:rPr>
        <w:t>EXCEL Application Exercise</w:t>
      </w:r>
    </w:p>
    <w:p w:rsidR="00062F77" w:rsidRPr="00477004" w:rsidRDefault="00062F77" w:rsidP="00062F77">
      <w:pPr>
        <w:pStyle w:val="ListParagraph"/>
        <w:widowControl/>
        <w:numPr>
          <w:ilvl w:val="0"/>
          <w:numId w:val="1"/>
        </w:numPr>
        <w:rPr>
          <w:rFonts w:eastAsia="TimesNewRomanPS"/>
        </w:rPr>
      </w:pPr>
      <w:r w:rsidRPr="00477004">
        <w:rPr>
          <w:rFonts w:eastAsia="TimesNewRomanPS"/>
        </w:rPr>
        <w:t>Choose the relevant data and prepare the income statement for the fiscal year. The final three lines of</w:t>
      </w:r>
      <w:r w:rsidR="00D30108">
        <w:rPr>
          <w:rFonts w:eastAsia="TimesNewRomanPS"/>
        </w:rPr>
        <w:t xml:space="preserve"> </w:t>
      </w:r>
      <w:r w:rsidRPr="00477004">
        <w:rPr>
          <w:rFonts w:eastAsia="TimesNewRomanPS"/>
        </w:rPr>
        <w:t>the income statement should be labeled earnings before income taxes, income taxes, and net earnings.</w:t>
      </w:r>
    </w:p>
    <w:p w:rsidR="00062F77" w:rsidRPr="00477004" w:rsidRDefault="00062F77" w:rsidP="00062F77">
      <w:pPr>
        <w:pStyle w:val="ListParagraph"/>
        <w:widowControl/>
        <w:numPr>
          <w:ilvl w:val="0"/>
          <w:numId w:val="1"/>
        </w:numPr>
      </w:pPr>
      <w:r w:rsidRPr="00477004">
        <w:rPr>
          <w:rFonts w:eastAsia="TimesNewRomanPS"/>
        </w:rPr>
        <w:t>Also show the change in retained earnings for the fiscal year, and compute the beginning-of-the-year retained earnings balance.</w:t>
      </w:r>
    </w:p>
    <w:p w:rsidR="00062F77" w:rsidRDefault="00062F77" w:rsidP="00062F77"/>
    <w:p w:rsidR="00D30108" w:rsidRDefault="00D30108" w:rsidP="00D30108">
      <w:pPr>
        <w:widowControl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Question 2</w:t>
      </w:r>
    </w:p>
    <w:p w:rsidR="00477004" w:rsidRPr="00477004" w:rsidRDefault="00477004" w:rsidP="00477004">
      <w:pPr>
        <w:widowControl/>
        <w:rPr>
          <w:rFonts w:eastAsiaTheme="minorHAnsi"/>
          <w:b/>
        </w:rPr>
      </w:pPr>
      <w:r w:rsidRPr="00477004">
        <w:rPr>
          <w:rFonts w:eastAsiaTheme="minorHAnsi"/>
          <w:b/>
        </w:rPr>
        <w:t>16-50 Reconciliation of Net Income and Net Cash Provided by Operating Activities</w:t>
      </w:r>
    </w:p>
    <w:p w:rsidR="00477004" w:rsidRDefault="00477004" w:rsidP="00477004">
      <w:pPr>
        <w:widowControl/>
        <w:rPr>
          <w:rFonts w:eastAsia="TimesNewRomanPS"/>
        </w:rPr>
      </w:pPr>
      <w:r w:rsidRPr="00477004">
        <w:rPr>
          <w:rFonts w:eastAsia="TimesNewRomanPS"/>
        </w:rPr>
        <w:t>Wisconsin Bottlers is a microbrewery in Milwaukee. By the end of 20X1, the company’s cash balance had dropped to $6,000, despite net income of $239,000 in 20X1. Its transactions affecting income or cash in 20X1 were (in thousands):</w:t>
      </w:r>
    </w:p>
    <w:p w:rsidR="00477004" w:rsidRPr="00477004" w:rsidRDefault="00477004" w:rsidP="00477004">
      <w:pPr>
        <w:widowControl/>
        <w:rPr>
          <w:rFonts w:eastAsia="TimesNewRomanPS"/>
        </w:rPr>
      </w:pP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1. Sales were $3,003, all on credit. Cash collections from customers were $2,899.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2. The cost of items sold was $2,096.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3. Inventory increased by $56.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4. Cash payments on trade accounts payable were $2,140.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5. Payments to employees were $305; accrued wages payable decreased by $24.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6. Other operating expenses, all paid in cash, were $105.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7. Interest expense, all paid in cash, was $26.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8. Income tax expense was $105; cash payments for income taxes were $108.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9. Depreciation was $151.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10. A warehouse was acquired for $540 cash.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11. Equipment was sold for $37 cash; original cost was $196, accumulated depreciation was $159.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12. Received $28 for issue of common stock.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13. Retired long-term debt for $25 cash.</w:t>
      </w:r>
    </w:p>
    <w:p w:rsidR="00477004" w:rsidRPr="00477004" w:rsidRDefault="00477004" w:rsidP="00477004">
      <w:pPr>
        <w:widowControl/>
        <w:ind w:left="720"/>
        <w:rPr>
          <w:rFonts w:eastAsia="TimesNewRomanPS"/>
        </w:rPr>
      </w:pPr>
      <w:r w:rsidRPr="00477004">
        <w:rPr>
          <w:rFonts w:eastAsia="TimesNewRomanPS"/>
        </w:rPr>
        <w:t>14. Paid cash dividends of $89.</w:t>
      </w:r>
    </w:p>
    <w:p w:rsidR="00477004" w:rsidRDefault="00477004" w:rsidP="00477004">
      <w:pPr>
        <w:widowControl/>
      </w:pPr>
    </w:p>
    <w:p w:rsidR="00477004" w:rsidRPr="00477004" w:rsidRDefault="00477004" w:rsidP="00477004">
      <w:pPr>
        <w:pStyle w:val="ListParagraph"/>
        <w:widowControl/>
        <w:numPr>
          <w:ilvl w:val="0"/>
          <w:numId w:val="2"/>
        </w:numPr>
        <w:rPr>
          <w:rFonts w:eastAsia="TimesNewRomanPS"/>
        </w:rPr>
      </w:pPr>
      <w:r w:rsidRPr="00477004">
        <w:rPr>
          <w:rFonts w:eastAsia="TimesNewRomanPS"/>
        </w:rPr>
        <w:t>Prepare a supporting schedule to the statement of cash flows that reconciles net income to net cash provided by operating activities.</w:t>
      </w:r>
    </w:p>
    <w:p w:rsidR="00477004" w:rsidRDefault="00477004" w:rsidP="00477004">
      <w:pPr>
        <w:widowControl/>
      </w:pPr>
    </w:p>
    <w:p w:rsidR="00477004" w:rsidRDefault="00477004" w:rsidP="00062F77"/>
    <w:p w:rsidR="00477004" w:rsidRDefault="00477004" w:rsidP="00062F77"/>
    <w:p w:rsidR="00477004" w:rsidRDefault="00477004" w:rsidP="00477004">
      <w:pPr>
        <w:widowControl/>
        <w:rPr>
          <w:rFonts w:ascii="FranklinGothic-Demi" w:eastAsiaTheme="minorHAnsi" w:hAnsi="FranklinGothic-Demi" w:cs="FranklinGothic-Demi"/>
          <w:sz w:val="22"/>
          <w:szCs w:val="22"/>
        </w:rPr>
      </w:pPr>
    </w:p>
    <w:p w:rsidR="00D30108" w:rsidRDefault="00D30108" w:rsidP="00D30108">
      <w:pPr>
        <w:widowControl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lastRenderedPageBreak/>
        <w:t>Question 3</w:t>
      </w:r>
    </w:p>
    <w:p w:rsidR="00477004" w:rsidRPr="00477004" w:rsidRDefault="00477004" w:rsidP="00477004">
      <w:pPr>
        <w:widowControl/>
        <w:rPr>
          <w:rFonts w:eastAsiaTheme="minorHAnsi"/>
          <w:b/>
        </w:rPr>
      </w:pPr>
      <w:r w:rsidRPr="00477004">
        <w:rPr>
          <w:rFonts w:eastAsiaTheme="minorHAnsi"/>
          <w:b/>
        </w:rPr>
        <w:t>16-42 Balance Sheet and Income Statement</w:t>
      </w:r>
    </w:p>
    <w:p w:rsidR="00477004" w:rsidRPr="00477004" w:rsidRDefault="00477004" w:rsidP="00477004">
      <w:pPr>
        <w:widowControl/>
        <w:rPr>
          <w:rFonts w:eastAsia="TimesNewRomanPS"/>
        </w:rPr>
      </w:pPr>
      <w:r w:rsidRPr="00477004">
        <w:rPr>
          <w:rFonts w:eastAsia="TimesNewRomanPS"/>
        </w:rPr>
        <w:t>The fiscal year for Honshu Company ends on May 31. Results for the year ended May 31, 20X1, included (in millions of Japanese yen except for number of shares outstanding):</w:t>
      </w:r>
    </w:p>
    <w:p w:rsidR="00477004" w:rsidRDefault="00477004" w:rsidP="00477004">
      <w:pPr>
        <w:widowControl/>
        <w:rPr>
          <w:rFonts w:eastAsia="FranklinGothic-Book"/>
        </w:rPr>
      </w:pP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Cash and cash equivalents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35,000</w:t>
      </w:r>
      <w:r w:rsidR="001677B8">
        <w:rPr>
          <w:rFonts w:eastAsia="FranklinGothic-Book"/>
        </w:rPr>
        <w:t>(YEN)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>Cost of goods sold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195,000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Inventories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>
        <w:rPr>
          <w:rFonts w:eastAsia="FranklinGothic-Book"/>
        </w:rPr>
        <w:tab/>
      </w:r>
      <w:r w:rsidRPr="00477004">
        <w:rPr>
          <w:rFonts w:eastAsia="FranklinGothic-Book"/>
        </w:rPr>
        <w:t>29,000</w:t>
      </w:r>
    </w:p>
    <w:p w:rsidR="00477004" w:rsidRPr="00477004" w:rsidRDefault="00477004" w:rsidP="00477004">
      <w:pPr>
        <w:rPr>
          <w:rFonts w:eastAsia="FranklinGothic-Book"/>
        </w:rPr>
      </w:pPr>
      <w:r w:rsidRPr="00477004">
        <w:rPr>
          <w:rFonts w:eastAsia="FranklinGothic-Book"/>
        </w:rPr>
        <w:t xml:space="preserve">Other current assets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 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6,000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Fixed assets, net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217,000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Net sales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415,000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Receivables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22,000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Debentures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77,000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Research and development expenses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42,000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>Administrative and general expenses</w:t>
      </w:r>
      <w:r w:rsidRPr="00477004">
        <w:rPr>
          <w:rFonts w:eastAsia="FranklinGothic-Book"/>
        </w:rPr>
        <w:tab/>
        <w:t xml:space="preserve"> </w:t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65,000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Other income (expenses), net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(12,000)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Capital construction fund*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>
        <w:rPr>
          <w:rFonts w:eastAsia="FranklinGothic-Book"/>
        </w:rPr>
        <w:tab/>
      </w:r>
      <w:r w:rsidRPr="00477004">
        <w:rPr>
          <w:rFonts w:eastAsia="FranklinGothic-Book"/>
        </w:rPr>
        <w:t>28,000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Selling and distribution expenses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>
        <w:rPr>
          <w:rFonts w:eastAsia="FranklinGothic-Book"/>
        </w:rPr>
        <w:tab/>
      </w:r>
      <w:r w:rsidRPr="00477004">
        <w:rPr>
          <w:rFonts w:eastAsia="FranklinGothic-Book"/>
        </w:rPr>
        <w:t>41,000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>Other current liabilities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</w:t>
      </w:r>
      <w:r w:rsidRPr="00477004">
        <w:rPr>
          <w:rFonts w:eastAsia="FranklinGothic-Book"/>
        </w:rPr>
        <w:tab/>
        <w:t xml:space="preserve"> </w:t>
      </w:r>
      <w:r>
        <w:rPr>
          <w:rFonts w:eastAsia="FranklinGothic-Book"/>
        </w:rPr>
        <w:tab/>
      </w:r>
      <w:r w:rsidRPr="00477004">
        <w:rPr>
          <w:rFonts w:eastAsia="FranklinGothic-Book"/>
        </w:rPr>
        <w:t xml:space="preserve"> 9,000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Treasury stock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(13,000)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Long-term </w:t>
      </w:r>
      <w:proofErr w:type="gramStart"/>
      <w:r w:rsidRPr="00477004">
        <w:rPr>
          <w:rFonts w:eastAsia="FranklinGothic-Book"/>
        </w:rPr>
        <w:t>investments ?</w:t>
      </w:r>
      <w:proofErr w:type="gramEnd"/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Accounts payable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19,000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Mortgage bonds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84,000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Deferred income tax liability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  <w:t xml:space="preserve">   </w:t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12,000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Redeemable preferred stock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15,000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Common stock, at par (50,000 shares outstanding) </w:t>
      </w:r>
      <w:r>
        <w:rPr>
          <w:rFonts w:eastAsia="FranklinGothic-Book"/>
        </w:rPr>
        <w:t xml:space="preserve">    </w:t>
      </w:r>
      <w:r w:rsidRPr="00477004">
        <w:rPr>
          <w:rFonts w:eastAsia="FranklinGothic-Book"/>
        </w:rPr>
        <w:t>5,000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Paid-in capital in excess of par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102,000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Income tax expense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49,000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Accrued expenses payable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20,000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Retained income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43,000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 xml:space="preserve">Intangible assets </w:t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 w:rsidRPr="00477004">
        <w:rPr>
          <w:rFonts w:eastAsia="FranklinGothic-Book"/>
        </w:rPr>
        <w:tab/>
      </w:r>
      <w:r>
        <w:rPr>
          <w:rFonts w:eastAsia="FranklinGothic-Book"/>
        </w:rPr>
        <w:tab/>
      </w:r>
      <w:r w:rsidRPr="00477004">
        <w:rPr>
          <w:rFonts w:eastAsia="FranklinGothic-Book"/>
        </w:rPr>
        <w:t>21,000</w:t>
      </w:r>
    </w:p>
    <w:p w:rsidR="00477004" w:rsidRPr="00477004" w:rsidRDefault="00477004" w:rsidP="00477004">
      <w:pPr>
        <w:widowControl/>
        <w:rPr>
          <w:rFonts w:eastAsia="FranklinGothic-Book"/>
        </w:rPr>
      </w:pPr>
      <w:r w:rsidRPr="00477004">
        <w:rPr>
          <w:rFonts w:eastAsia="FranklinGothic-Book"/>
        </w:rPr>
        <w:t>*A noncurrent asset</w:t>
      </w:r>
    </w:p>
    <w:p w:rsidR="00477004" w:rsidRDefault="00477004" w:rsidP="00477004">
      <w:pPr>
        <w:widowControl/>
        <w:rPr>
          <w:rFonts w:eastAsia="TimesNewRomanPS"/>
        </w:rPr>
      </w:pPr>
    </w:p>
    <w:p w:rsidR="00477004" w:rsidRPr="00477004" w:rsidRDefault="00477004" w:rsidP="00477004">
      <w:pPr>
        <w:pStyle w:val="ListParagraph"/>
        <w:widowControl/>
        <w:numPr>
          <w:ilvl w:val="0"/>
          <w:numId w:val="3"/>
        </w:numPr>
      </w:pPr>
      <w:r w:rsidRPr="00477004">
        <w:rPr>
          <w:rFonts w:eastAsia="TimesNewRomanPS"/>
        </w:rPr>
        <w:t>Prepare in proper form the balance sheet as of May 31, 20X1, and the income statement for the year ended May 31, 20X1. Include the proper amount for long-term investments.</w:t>
      </w:r>
    </w:p>
    <w:p w:rsidR="00477004" w:rsidRPr="00477004" w:rsidRDefault="00477004" w:rsidP="00477004"/>
    <w:p w:rsidR="00D30108" w:rsidRDefault="00D3010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30108" w:rsidRDefault="00D30108" w:rsidP="00D30108">
      <w:pPr>
        <w:widowControl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lastRenderedPageBreak/>
        <w:t>Question 4</w:t>
      </w:r>
    </w:p>
    <w:p w:rsidR="00477004" w:rsidRPr="00477004" w:rsidRDefault="00062F77" w:rsidP="00477004">
      <w:pPr>
        <w:widowControl/>
        <w:rPr>
          <w:rFonts w:eastAsiaTheme="minorHAnsi"/>
          <w:b/>
        </w:rPr>
      </w:pPr>
      <w:r w:rsidRPr="00477004">
        <w:rPr>
          <w:rFonts w:eastAsiaTheme="minorHAnsi"/>
          <w:b/>
        </w:rPr>
        <w:t>15-45 Interpreting the Income Statement and Balance Sheet</w:t>
      </w:r>
      <w:r w:rsidR="00477004" w:rsidRPr="00477004">
        <w:rPr>
          <w:rFonts w:eastAsiaTheme="minorHAnsi"/>
          <w:b/>
        </w:rPr>
        <w:t xml:space="preserve"> (Nike 10-K Problem)</w:t>
      </w:r>
    </w:p>
    <w:p w:rsidR="00334571" w:rsidRDefault="00A907A4" w:rsidP="00334571">
      <w:pPr>
        <w:widowControl/>
        <w:rPr>
          <w:rFonts w:eastAsia="TimesNewRomanPS"/>
        </w:rPr>
      </w:pPr>
      <w:r w:rsidRPr="00477004">
        <w:rPr>
          <w:rFonts w:eastAsia="TimesNewRomanPS"/>
        </w:rPr>
        <w:t xml:space="preserve">Review </w:t>
      </w:r>
      <w:r w:rsidR="00062F77" w:rsidRPr="00477004">
        <w:rPr>
          <w:rFonts w:eastAsia="TimesNewRomanPS"/>
        </w:rPr>
        <w:t xml:space="preserve">Nike’s income statement and balance sheet </w:t>
      </w:r>
      <w:r w:rsidRPr="00477004">
        <w:rPr>
          <w:rFonts w:eastAsia="TimesNewRomanPS"/>
        </w:rPr>
        <w:t>below on the two following pages</w:t>
      </w:r>
      <w:r w:rsidR="00062F77" w:rsidRPr="00477004">
        <w:rPr>
          <w:rFonts w:eastAsia="TimesNewRomanPS"/>
        </w:rPr>
        <w:t>. Answer the</w:t>
      </w:r>
      <w:r w:rsidR="00334571" w:rsidRPr="00477004">
        <w:rPr>
          <w:rFonts w:eastAsia="TimesNewRomanPS"/>
        </w:rPr>
        <w:t xml:space="preserve"> following questions using the two statements.</w:t>
      </w:r>
    </w:p>
    <w:p w:rsidR="00477004" w:rsidRPr="00477004" w:rsidRDefault="00477004" w:rsidP="00334571">
      <w:pPr>
        <w:widowControl/>
        <w:rPr>
          <w:rFonts w:eastAsia="TimesNewRomanPS"/>
        </w:rPr>
      </w:pPr>
    </w:p>
    <w:p w:rsidR="00334571" w:rsidRPr="00477004" w:rsidRDefault="00334571" w:rsidP="00334571">
      <w:pPr>
        <w:widowControl/>
        <w:rPr>
          <w:rFonts w:eastAsia="TimesNewRomanPS"/>
        </w:rPr>
      </w:pPr>
      <w:r w:rsidRPr="00477004">
        <w:rPr>
          <w:rFonts w:eastAsia="TimesNewRomanPS"/>
        </w:rPr>
        <w:t>1. Compute Nike’s percentage increase in revenues and in total assets in fiscal 2006. Which</w:t>
      </w:r>
      <w:r w:rsidR="00A907A4" w:rsidRPr="00477004">
        <w:rPr>
          <w:rFonts w:eastAsia="TimesNewRomanPS"/>
        </w:rPr>
        <w:t xml:space="preserve"> </w:t>
      </w:r>
      <w:r w:rsidRPr="00477004">
        <w:rPr>
          <w:rFonts w:eastAsia="TimesNewRomanPS"/>
        </w:rPr>
        <w:t>increased more?</w:t>
      </w:r>
    </w:p>
    <w:p w:rsidR="00334571" w:rsidRPr="00477004" w:rsidRDefault="00334571" w:rsidP="00334571">
      <w:pPr>
        <w:widowControl/>
        <w:rPr>
          <w:rFonts w:eastAsia="TimesNewRomanPS"/>
        </w:rPr>
      </w:pPr>
      <w:r w:rsidRPr="00477004">
        <w:rPr>
          <w:rFonts w:eastAsia="TimesNewRomanPS"/>
        </w:rPr>
        <w:t>2. Illustrate the balance sheet equation, using total assets, total liabilities, and shareholders’ equity from Nike’s May 31, 2006 balance sheet. (Add the $.3 million of redeemable preferred stock to shareholders’ equity.)</w:t>
      </w:r>
    </w:p>
    <w:p w:rsidR="00334571" w:rsidRPr="00477004" w:rsidRDefault="00334571" w:rsidP="00334571">
      <w:pPr>
        <w:widowControl/>
        <w:rPr>
          <w:rFonts w:eastAsia="TimesNewRomanPS"/>
        </w:rPr>
      </w:pPr>
      <w:r w:rsidRPr="00477004">
        <w:rPr>
          <w:rFonts w:eastAsia="TimesNewRomanPS"/>
        </w:rPr>
        <w:t xml:space="preserve">3. Nike’s retained earnings increased from $4,396.5 million to $4,713.4 million during fiscal 2006. A small decrease in retained earnings, $0.3 million, is due to </w:t>
      </w:r>
      <w:r w:rsidR="00A907A4" w:rsidRPr="00477004">
        <w:rPr>
          <w:rFonts w:eastAsia="TimesNewRomanPS"/>
        </w:rPr>
        <w:t xml:space="preserve">unexplained </w:t>
      </w:r>
      <w:proofErr w:type="spellStart"/>
      <w:r w:rsidR="00A907A4" w:rsidRPr="00477004">
        <w:rPr>
          <w:rFonts w:eastAsia="TimesNewRomanPS"/>
        </w:rPr>
        <w:t>instnces</w:t>
      </w:r>
      <w:proofErr w:type="spellEnd"/>
      <w:r w:rsidR="00A907A4" w:rsidRPr="00477004">
        <w:rPr>
          <w:rFonts w:eastAsia="TimesNewRomanPS"/>
        </w:rPr>
        <w:t>.</w:t>
      </w:r>
      <w:r w:rsidRPr="00477004">
        <w:rPr>
          <w:rFonts w:eastAsia="TimesNewRomanPS"/>
        </w:rPr>
        <w:t xml:space="preserve"> Explain the remainder of the change in retained earnings.</w:t>
      </w:r>
    </w:p>
    <w:p w:rsidR="00334571" w:rsidRPr="00477004" w:rsidRDefault="00334571" w:rsidP="00334571">
      <w:pPr>
        <w:pStyle w:val="Default"/>
        <w:rPr>
          <w:rFonts w:ascii="Times New Roman" w:hAnsi="Times New Roman" w:cs="Times New Roman"/>
          <w:color w:val="auto"/>
        </w:rPr>
      </w:pPr>
      <w:r w:rsidRPr="00477004">
        <w:rPr>
          <w:rFonts w:ascii="Times New Roman" w:eastAsia="TimesNewRomanPS" w:hAnsi="Times New Roman" w:cs="Times New Roman"/>
        </w:rPr>
        <w:t>4. Did Nike’s net income grow by a larger percentage in fiscal 2006 or fiscal 2005?</w:t>
      </w:r>
    </w:p>
    <w:p w:rsidR="00334571" w:rsidRPr="00477004" w:rsidRDefault="00334571" w:rsidP="00334571">
      <w:pPr>
        <w:pStyle w:val="Default"/>
        <w:rPr>
          <w:rFonts w:ascii="Times New Roman" w:hAnsi="Times New Roman" w:cs="Times New Roman"/>
          <w:color w:val="auto"/>
        </w:rPr>
      </w:pPr>
    </w:p>
    <w:p w:rsidR="00334571" w:rsidRPr="00477004" w:rsidRDefault="00334571" w:rsidP="00334571">
      <w:pPr>
        <w:pStyle w:val="Default"/>
        <w:rPr>
          <w:rFonts w:ascii="Times New Roman" w:hAnsi="Times New Roman" w:cs="Times New Roman"/>
          <w:color w:val="auto"/>
        </w:rPr>
      </w:pPr>
    </w:p>
    <w:p w:rsidR="00334571" w:rsidRPr="00477004" w:rsidRDefault="00334571" w:rsidP="00062F77">
      <w:pPr>
        <w:widowControl/>
        <w:rPr>
          <w:rFonts w:eastAsia="TimesNewRomanPS"/>
        </w:rPr>
      </w:pPr>
      <w:r w:rsidRPr="00477004">
        <w:rPr>
          <w:rFonts w:eastAsia="TimesNewRomanPS"/>
        </w:rPr>
        <w:t xml:space="preserve"> </w:t>
      </w:r>
    </w:p>
    <w:p w:rsidR="00334571" w:rsidRPr="00477004" w:rsidRDefault="00334571">
      <w:pPr>
        <w:widowControl/>
        <w:autoSpaceDE/>
        <w:autoSpaceDN/>
        <w:adjustRightInd/>
        <w:spacing w:after="200" w:line="276" w:lineRule="auto"/>
        <w:rPr>
          <w:rFonts w:eastAsia="TimesNewRomanPS"/>
        </w:rPr>
      </w:pPr>
      <w:r w:rsidRPr="00477004">
        <w:rPr>
          <w:rFonts w:eastAsia="TimesNewRomanPS"/>
        </w:rPr>
        <w:br w:type="page"/>
      </w:r>
    </w:p>
    <w:p w:rsidR="00334571" w:rsidRPr="00477004" w:rsidRDefault="00334571">
      <w:pPr>
        <w:widowControl/>
        <w:autoSpaceDE/>
        <w:autoSpaceDN/>
        <w:adjustRightInd/>
        <w:spacing w:after="200" w:line="276" w:lineRule="auto"/>
        <w:rPr>
          <w:rFonts w:eastAsia="TimesNewRomanPS"/>
        </w:rPr>
      </w:pPr>
      <w:r w:rsidRPr="00477004">
        <w:rPr>
          <w:rFonts w:eastAsia="TimesNewRomanPS"/>
          <w:noProof/>
        </w:rPr>
        <w:lastRenderedPageBreak/>
        <w:drawing>
          <wp:inline distT="0" distB="0" distL="0" distR="0">
            <wp:extent cx="6696074" cy="750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51" cy="75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71" w:rsidRPr="00477004" w:rsidRDefault="00334571">
      <w:pPr>
        <w:widowControl/>
        <w:autoSpaceDE/>
        <w:autoSpaceDN/>
        <w:adjustRightInd/>
        <w:spacing w:after="200" w:line="276" w:lineRule="auto"/>
        <w:rPr>
          <w:rFonts w:eastAsia="TimesNewRomanPS"/>
        </w:rPr>
      </w:pPr>
    </w:p>
    <w:p w:rsidR="00A907A4" w:rsidRPr="00477004" w:rsidRDefault="00334571" w:rsidP="00477004">
      <w:pPr>
        <w:widowControl/>
        <w:autoSpaceDE/>
        <w:autoSpaceDN/>
        <w:adjustRightInd/>
        <w:spacing w:after="200" w:line="276" w:lineRule="auto"/>
      </w:pPr>
      <w:r w:rsidRPr="00477004">
        <w:rPr>
          <w:rFonts w:eastAsia="TimesNewRomanPS"/>
        </w:rPr>
        <w:br w:type="page"/>
      </w:r>
      <w:r w:rsidRPr="00477004">
        <w:rPr>
          <w:rFonts w:eastAsia="TimesNewRomanPS"/>
          <w:noProof/>
        </w:rPr>
        <w:lastRenderedPageBreak/>
        <w:drawing>
          <wp:inline distT="0" distB="0" distL="0" distR="0">
            <wp:extent cx="6762750" cy="846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16" cy="84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004">
        <w:rPr>
          <w:rFonts w:eastAsia="TimesNewRomanPS"/>
        </w:rPr>
        <w:lastRenderedPageBreak/>
        <w:br w:type="page"/>
      </w:r>
    </w:p>
    <w:p w:rsidR="00062F77" w:rsidRPr="00477004" w:rsidRDefault="00062F77" w:rsidP="00062F77"/>
    <w:sectPr w:rsidR="00062F77" w:rsidRPr="00477004" w:rsidSect="004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5A"/>
    <w:multiLevelType w:val="hybridMultilevel"/>
    <w:tmpl w:val="2B4A0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C393D"/>
    <w:multiLevelType w:val="hybridMultilevel"/>
    <w:tmpl w:val="922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378E4"/>
    <w:multiLevelType w:val="hybridMultilevel"/>
    <w:tmpl w:val="922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F77"/>
    <w:rsid w:val="00062F77"/>
    <w:rsid w:val="000E258C"/>
    <w:rsid w:val="001677B8"/>
    <w:rsid w:val="002702A9"/>
    <w:rsid w:val="00334571"/>
    <w:rsid w:val="00477004"/>
    <w:rsid w:val="004E23D9"/>
    <w:rsid w:val="00A907A4"/>
    <w:rsid w:val="00C40B34"/>
    <w:rsid w:val="00D30108"/>
    <w:rsid w:val="00D6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725D-F8C0-4311-A8F9-76C6C1EC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christopher.springer</cp:lastModifiedBy>
  <cp:revision>2</cp:revision>
  <dcterms:created xsi:type="dcterms:W3CDTF">2011-04-02T00:16:00Z</dcterms:created>
  <dcterms:modified xsi:type="dcterms:W3CDTF">2011-04-02T00:16:00Z</dcterms:modified>
</cp:coreProperties>
</file>