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74" w:rsidRDefault="00C57074" w:rsidP="00C57074">
      <w:pPr>
        <w:pStyle w:val="UPhxBodyText2"/>
        <w:spacing w:before="0" w:after="120"/>
        <w:ind w:left="0"/>
        <w:jc w:val="both"/>
        <w:rPr>
          <w:b/>
          <w:color w:val="0000FF"/>
          <w:sz w:val="24"/>
          <w:szCs w:val="24"/>
          <w:u w:val="single"/>
        </w:rPr>
      </w:pPr>
      <w:r w:rsidRPr="00C95DCD">
        <w:rPr>
          <w:b/>
          <w:color w:val="0000FF"/>
          <w:sz w:val="24"/>
          <w:szCs w:val="24"/>
          <w:u w:val="single"/>
        </w:rPr>
        <w:t>EQUATIONS FOR CAPITAL BUDGET PROCESS:</w:t>
      </w:r>
    </w:p>
    <w:p w:rsidR="00C57074" w:rsidRDefault="00C57074" w:rsidP="00C57074">
      <w:pPr>
        <w:pStyle w:val="UPhxBodyText2"/>
        <w:numPr>
          <w:ilvl w:val="0"/>
          <w:numId w:val="3"/>
        </w:numPr>
        <w:spacing w:before="0" w:after="120"/>
        <w:jc w:val="both"/>
        <w:rPr>
          <w:sz w:val="24"/>
          <w:szCs w:val="24"/>
        </w:rPr>
      </w:pPr>
      <w:r>
        <w:rPr>
          <w:sz w:val="24"/>
          <w:szCs w:val="24"/>
        </w:rPr>
        <w:t xml:space="preserve">Break Even Point: </w:t>
      </w:r>
      <w:r w:rsidRPr="00C95DCD">
        <w:rPr>
          <w:position w:val="-28"/>
          <w:sz w:val="24"/>
          <w:szCs w:val="24"/>
        </w:rPr>
        <w:object w:dxaOrig="15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32.65pt" o:ole="">
            <v:imagedata r:id="rId6" o:title=""/>
          </v:shape>
          <o:OLEObject Type="Embed" ProgID="Equation.3" ShapeID="_x0000_i1025" DrawAspect="Content" ObjectID="_1361904343" r:id="rId7"/>
        </w:object>
      </w:r>
      <w:r>
        <w:rPr>
          <w:sz w:val="24"/>
          <w:szCs w:val="24"/>
        </w:rPr>
        <w:t>, where FC = fixed costs, VC = variable costs per unit, and P = Price per unit</w:t>
      </w:r>
    </w:p>
    <w:p w:rsidR="00C57074" w:rsidRDefault="00C57074" w:rsidP="00C57074">
      <w:pPr>
        <w:pStyle w:val="UPhxBodyText2"/>
        <w:numPr>
          <w:ilvl w:val="0"/>
          <w:numId w:val="3"/>
        </w:numPr>
        <w:spacing w:before="0" w:after="120"/>
        <w:jc w:val="both"/>
        <w:rPr>
          <w:sz w:val="24"/>
          <w:szCs w:val="24"/>
        </w:rPr>
      </w:pPr>
      <w:r>
        <w:rPr>
          <w:sz w:val="24"/>
          <w:szCs w:val="24"/>
        </w:rPr>
        <w:t>Cost of Capital Component Parts:</w:t>
      </w:r>
    </w:p>
    <w:p w:rsidR="00C57074" w:rsidRDefault="00C57074" w:rsidP="00C57074">
      <w:pPr>
        <w:pStyle w:val="UPhxBodyText2"/>
        <w:numPr>
          <w:ilvl w:val="1"/>
          <w:numId w:val="3"/>
        </w:numPr>
        <w:spacing w:before="0" w:after="120"/>
        <w:rPr>
          <w:sz w:val="24"/>
          <w:szCs w:val="24"/>
        </w:rPr>
      </w:pPr>
      <w:r>
        <w:rPr>
          <w:sz w:val="24"/>
          <w:szCs w:val="24"/>
        </w:rPr>
        <w:t xml:space="preserve">(After Tax) Cost of Debt: </w:t>
      </w:r>
      <w:proofErr w:type="spellStart"/>
      <w:r>
        <w:rPr>
          <w:sz w:val="24"/>
          <w:szCs w:val="24"/>
        </w:rPr>
        <w:t>r</w:t>
      </w:r>
      <w:r w:rsidRPr="00C95DCD">
        <w:rPr>
          <w:sz w:val="24"/>
          <w:szCs w:val="24"/>
          <w:vertAlign w:val="subscript"/>
        </w:rPr>
        <w:t>d</w:t>
      </w:r>
      <w:proofErr w:type="spellEnd"/>
      <w:r>
        <w:rPr>
          <w:sz w:val="24"/>
          <w:szCs w:val="24"/>
          <w:vertAlign w:val="subscript"/>
        </w:rPr>
        <w:t xml:space="preserve"> </w:t>
      </w:r>
      <w:r>
        <w:rPr>
          <w:sz w:val="24"/>
          <w:szCs w:val="24"/>
        </w:rPr>
        <w:t xml:space="preserve">(1-T), where </w:t>
      </w:r>
      <w:proofErr w:type="spellStart"/>
      <w:r>
        <w:rPr>
          <w:sz w:val="24"/>
          <w:szCs w:val="24"/>
        </w:rPr>
        <w:t>rd</w:t>
      </w:r>
      <w:proofErr w:type="spellEnd"/>
      <w:r>
        <w:rPr>
          <w:sz w:val="24"/>
          <w:szCs w:val="24"/>
        </w:rPr>
        <w:t xml:space="preserve"> = rate of return required by the holders of the debt instrument, and T = combined tax rate for the subsidiary or firm. This equation only works in a domestic capacity or if debt is denominated in the home country’s currency.</w:t>
      </w:r>
    </w:p>
    <w:p w:rsidR="00C57074" w:rsidRDefault="00C57074" w:rsidP="00C57074">
      <w:pPr>
        <w:pStyle w:val="UPhxBodyText2"/>
        <w:numPr>
          <w:ilvl w:val="1"/>
          <w:numId w:val="3"/>
        </w:numPr>
        <w:spacing w:before="0" w:after="120"/>
        <w:rPr>
          <w:sz w:val="24"/>
          <w:szCs w:val="24"/>
        </w:rPr>
      </w:pPr>
      <w:r>
        <w:rPr>
          <w:sz w:val="24"/>
          <w:szCs w:val="24"/>
        </w:rPr>
        <w:t xml:space="preserve">Cost of Foreign-Currency-Denominated Debt: </w:t>
      </w:r>
      <w:proofErr w:type="spellStart"/>
      <w:r>
        <w:rPr>
          <w:sz w:val="24"/>
          <w:szCs w:val="24"/>
        </w:rPr>
        <w:t>r</w:t>
      </w:r>
      <w:r w:rsidRPr="00C95DCD">
        <w:rPr>
          <w:sz w:val="24"/>
          <w:szCs w:val="24"/>
          <w:vertAlign w:val="subscript"/>
        </w:rPr>
        <w:t>d</w:t>
      </w:r>
      <w:proofErr w:type="spellEnd"/>
      <w:r>
        <w:rPr>
          <w:sz w:val="24"/>
          <w:szCs w:val="24"/>
          <w:vertAlign w:val="subscript"/>
        </w:rPr>
        <w:t xml:space="preserve"> </w:t>
      </w:r>
      <w:r>
        <w:rPr>
          <w:sz w:val="24"/>
          <w:szCs w:val="24"/>
        </w:rPr>
        <w:t>(1-T)(1 +</w:t>
      </w:r>
      <w:proofErr w:type="spellStart"/>
      <w:r>
        <w:rPr>
          <w:rFonts w:cs="Arial"/>
          <w:sz w:val="24"/>
          <w:szCs w:val="24"/>
        </w:rPr>
        <w:t>Δ</w:t>
      </w:r>
      <w:r>
        <w:rPr>
          <w:sz w:val="24"/>
          <w:szCs w:val="24"/>
        </w:rPr>
        <w:t>FX</w:t>
      </w:r>
      <w:r w:rsidRPr="006D3FF7">
        <w:rPr>
          <w:sz w:val="24"/>
          <w:szCs w:val="24"/>
          <w:vertAlign w:val="superscript"/>
        </w:rPr>
        <w:t>e</w:t>
      </w:r>
      <w:proofErr w:type="spellEnd"/>
      <w:r>
        <w:rPr>
          <w:sz w:val="24"/>
          <w:szCs w:val="24"/>
        </w:rPr>
        <w:t xml:space="preserve">) + </w:t>
      </w:r>
      <w:proofErr w:type="spellStart"/>
      <w:r>
        <w:rPr>
          <w:rFonts w:cs="Arial"/>
          <w:sz w:val="24"/>
          <w:szCs w:val="24"/>
        </w:rPr>
        <w:t>Δ</w:t>
      </w:r>
      <w:r>
        <w:rPr>
          <w:sz w:val="24"/>
          <w:szCs w:val="24"/>
        </w:rPr>
        <w:t>FX</w:t>
      </w:r>
      <w:r w:rsidRPr="006D3FF7">
        <w:rPr>
          <w:sz w:val="24"/>
          <w:szCs w:val="24"/>
          <w:vertAlign w:val="superscript"/>
        </w:rPr>
        <w:t>e</w:t>
      </w:r>
      <w:proofErr w:type="spellEnd"/>
      <w:r>
        <w:rPr>
          <w:sz w:val="24"/>
          <w:szCs w:val="24"/>
        </w:rPr>
        <w:t xml:space="preserve">, where </w:t>
      </w:r>
      <w:proofErr w:type="spellStart"/>
      <w:r>
        <w:rPr>
          <w:sz w:val="24"/>
          <w:szCs w:val="24"/>
        </w:rPr>
        <w:t>r</w:t>
      </w:r>
      <w:r w:rsidRPr="00C95DCD">
        <w:rPr>
          <w:sz w:val="24"/>
          <w:szCs w:val="24"/>
          <w:vertAlign w:val="subscript"/>
        </w:rPr>
        <w:t>d</w:t>
      </w:r>
      <w:proofErr w:type="spellEnd"/>
      <w:r>
        <w:rPr>
          <w:sz w:val="24"/>
          <w:szCs w:val="24"/>
          <w:vertAlign w:val="subscript"/>
        </w:rPr>
        <w:t xml:space="preserve"> </w:t>
      </w:r>
      <w:r>
        <w:rPr>
          <w:sz w:val="24"/>
          <w:szCs w:val="24"/>
        </w:rPr>
        <w:t>(1-T) is the after tax cost of debt, and,</w:t>
      </w:r>
    </w:p>
    <w:p w:rsidR="00C57074" w:rsidRDefault="00C57074" w:rsidP="00C57074">
      <w:pPr>
        <w:pStyle w:val="UPhxBodyText2"/>
        <w:spacing w:before="0" w:after="120"/>
        <w:ind w:left="1440"/>
        <w:rPr>
          <w:sz w:val="24"/>
          <w:szCs w:val="24"/>
        </w:rPr>
      </w:pPr>
      <w:r>
        <w:rPr>
          <w:sz w:val="24"/>
          <w:szCs w:val="24"/>
        </w:rPr>
        <w:t xml:space="preserve"> </w:t>
      </w:r>
      <w:proofErr w:type="spellStart"/>
      <w:r>
        <w:rPr>
          <w:rFonts w:cs="Arial"/>
          <w:sz w:val="24"/>
          <w:szCs w:val="24"/>
        </w:rPr>
        <w:t>Δ</w:t>
      </w:r>
      <w:r>
        <w:rPr>
          <w:sz w:val="24"/>
          <w:szCs w:val="24"/>
        </w:rPr>
        <w:t>FX</w:t>
      </w:r>
      <w:r w:rsidRPr="006D3FF7">
        <w:rPr>
          <w:sz w:val="24"/>
          <w:szCs w:val="24"/>
          <w:vertAlign w:val="superscript"/>
        </w:rPr>
        <w:t>e</w:t>
      </w:r>
      <w:proofErr w:type="spellEnd"/>
      <w:r>
        <w:rPr>
          <w:sz w:val="24"/>
          <w:szCs w:val="24"/>
        </w:rPr>
        <w:t xml:space="preserve"> </w:t>
      </w:r>
      <w:proofErr w:type="gramStart"/>
      <w:r>
        <w:rPr>
          <w:sz w:val="24"/>
          <w:szCs w:val="24"/>
        </w:rPr>
        <w:t xml:space="preserve">= </w:t>
      </w:r>
      <w:proofErr w:type="gramEnd"/>
      <w:r w:rsidRPr="006D3FF7">
        <w:rPr>
          <w:position w:val="-24"/>
          <w:sz w:val="24"/>
          <w:szCs w:val="24"/>
        </w:rPr>
        <w:object w:dxaOrig="1380" w:dyaOrig="620">
          <v:shape id="_x0000_i1026" type="#_x0000_t75" style="width:68.65pt;height:31pt" o:ole="">
            <v:imagedata r:id="rId8" o:title=""/>
          </v:shape>
          <o:OLEObject Type="Embed" ProgID="Equation.3" ShapeID="_x0000_i1026" DrawAspect="Content" ObjectID="_1361904344" r:id="rId9"/>
        </w:object>
      </w:r>
      <w:r>
        <w:rPr>
          <w:sz w:val="24"/>
          <w:szCs w:val="24"/>
        </w:rPr>
        <w:t>, where FX</w:t>
      </w:r>
      <w:r w:rsidRPr="006D3FF7">
        <w:rPr>
          <w:sz w:val="24"/>
          <w:szCs w:val="24"/>
          <w:vertAlign w:val="subscript"/>
        </w:rPr>
        <w:t>1</w:t>
      </w:r>
      <w:r>
        <w:rPr>
          <w:sz w:val="24"/>
          <w:szCs w:val="24"/>
        </w:rPr>
        <w:t xml:space="preserve"> is the price of the foreign exchange at time</w:t>
      </w:r>
      <w:r w:rsidRPr="006D3FF7">
        <w:rPr>
          <w:sz w:val="24"/>
          <w:szCs w:val="24"/>
          <w:vertAlign w:val="subscript"/>
        </w:rPr>
        <w:t>1</w:t>
      </w:r>
      <w:r>
        <w:rPr>
          <w:sz w:val="24"/>
          <w:szCs w:val="24"/>
        </w:rPr>
        <w:t>, and FX</w:t>
      </w:r>
      <w:r w:rsidRPr="006D3FF7">
        <w:rPr>
          <w:sz w:val="24"/>
          <w:szCs w:val="24"/>
          <w:vertAlign w:val="subscript"/>
        </w:rPr>
        <w:t>0</w:t>
      </w:r>
      <w:r>
        <w:rPr>
          <w:sz w:val="24"/>
          <w:szCs w:val="24"/>
        </w:rPr>
        <w:t xml:space="preserve"> is the price of the foreign exchange at time</w:t>
      </w:r>
      <w:r w:rsidRPr="006D3FF7">
        <w:rPr>
          <w:sz w:val="24"/>
          <w:szCs w:val="24"/>
          <w:vertAlign w:val="subscript"/>
        </w:rPr>
        <w:t>0</w:t>
      </w:r>
      <w:r>
        <w:rPr>
          <w:sz w:val="24"/>
          <w:szCs w:val="24"/>
        </w:rPr>
        <w:t>.</w:t>
      </w:r>
    </w:p>
    <w:p w:rsidR="00C57074" w:rsidRDefault="00C57074" w:rsidP="00C57074">
      <w:pPr>
        <w:pStyle w:val="UPhxBodyText2"/>
        <w:numPr>
          <w:ilvl w:val="1"/>
          <w:numId w:val="3"/>
        </w:numPr>
        <w:spacing w:before="0" w:after="120"/>
        <w:rPr>
          <w:sz w:val="24"/>
          <w:szCs w:val="24"/>
        </w:rPr>
      </w:pPr>
      <w:r>
        <w:rPr>
          <w:sz w:val="24"/>
          <w:szCs w:val="24"/>
        </w:rPr>
        <w:t xml:space="preserve">Cost of Preferred Stock: </w:t>
      </w:r>
      <w:proofErr w:type="spellStart"/>
      <w:r>
        <w:rPr>
          <w:sz w:val="24"/>
          <w:szCs w:val="24"/>
        </w:rPr>
        <w:t>r</w:t>
      </w:r>
      <w:r w:rsidRPr="006D3FF7">
        <w:rPr>
          <w:sz w:val="24"/>
          <w:szCs w:val="24"/>
          <w:vertAlign w:val="subscript"/>
        </w:rPr>
        <w:t>ps</w:t>
      </w:r>
      <w:proofErr w:type="spellEnd"/>
      <w:proofErr w:type="gramStart"/>
      <w:r>
        <w:rPr>
          <w:sz w:val="24"/>
          <w:szCs w:val="24"/>
        </w:rPr>
        <w:t xml:space="preserve">= </w:t>
      </w:r>
      <w:proofErr w:type="gramEnd"/>
      <w:r w:rsidRPr="006D3FF7">
        <w:rPr>
          <w:position w:val="-28"/>
          <w:sz w:val="24"/>
          <w:szCs w:val="24"/>
        </w:rPr>
        <w:object w:dxaOrig="720" w:dyaOrig="660">
          <v:shape id="_x0000_i1027" type="#_x0000_t75" style="width:36pt;height:32.65pt" o:ole="">
            <v:imagedata r:id="rId10" o:title=""/>
          </v:shape>
          <o:OLEObject Type="Embed" ProgID="Equation.3" ShapeID="_x0000_i1027" DrawAspect="Content" ObjectID="_1361904345" r:id="rId11"/>
        </w:object>
      </w:r>
      <w:r>
        <w:rPr>
          <w:sz w:val="24"/>
          <w:szCs w:val="24"/>
        </w:rPr>
        <w:t xml:space="preserve">, where </w:t>
      </w:r>
      <w:proofErr w:type="spellStart"/>
      <w:r>
        <w:rPr>
          <w:sz w:val="24"/>
          <w:szCs w:val="24"/>
        </w:rPr>
        <w:t>D</w:t>
      </w:r>
      <w:r w:rsidRPr="005546CD">
        <w:rPr>
          <w:sz w:val="24"/>
          <w:szCs w:val="24"/>
          <w:vertAlign w:val="subscript"/>
        </w:rPr>
        <w:t>ps</w:t>
      </w:r>
      <w:proofErr w:type="spellEnd"/>
      <w:r>
        <w:rPr>
          <w:sz w:val="24"/>
          <w:szCs w:val="24"/>
        </w:rPr>
        <w:t xml:space="preserve">= preferred dividend, and </w:t>
      </w:r>
      <w:proofErr w:type="spellStart"/>
      <w:r>
        <w:rPr>
          <w:sz w:val="24"/>
          <w:szCs w:val="24"/>
        </w:rPr>
        <w:t>P</w:t>
      </w:r>
      <w:r w:rsidRPr="005546CD">
        <w:rPr>
          <w:sz w:val="24"/>
          <w:szCs w:val="24"/>
          <w:vertAlign w:val="subscript"/>
        </w:rPr>
        <w:t>n</w:t>
      </w:r>
      <w:proofErr w:type="spellEnd"/>
      <w:r>
        <w:rPr>
          <w:sz w:val="24"/>
          <w:szCs w:val="24"/>
        </w:rPr>
        <w:t>= net issuing price after deducting all costs associated with “floating” the stock (that is, going to an investment bank and having them sell the stock. Hence the term “floating.”)</w:t>
      </w:r>
    </w:p>
    <w:p w:rsidR="00C57074" w:rsidRDefault="00C57074" w:rsidP="00C57074">
      <w:pPr>
        <w:pStyle w:val="UPhxBodyText2"/>
        <w:numPr>
          <w:ilvl w:val="1"/>
          <w:numId w:val="3"/>
        </w:numPr>
        <w:spacing w:before="0" w:after="120"/>
        <w:rPr>
          <w:sz w:val="24"/>
          <w:szCs w:val="24"/>
        </w:rPr>
      </w:pPr>
      <w:r>
        <w:rPr>
          <w:sz w:val="24"/>
          <w:szCs w:val="24"/>
        </w:rPr>
        <w:t xml:space="preserve">Cost of Common Equity (Bond or Stock): </w:t>
      </w:r>
      <w:proofErr w:type="spellStart"/>
      <w:r>
        <w:rPr>
          <w:sz w:val="24"/>
          <w:szCs w:val="24"/>
        </w:rPr>
        <w:t>r</w:t>
      </w:r>
      <w:r w:rsidRPr="00E3231E">
        <w:rPr>
          <w:sz w:val="24"/>
          <w:szCs w:val="24"/>
          <w:vertAlign w:val="subscript"/>
        </w:rPr>
        <w:t>s</w:t>
      </w:r>
      <w:proofErr w:type="spellEnd"/>
    </w:p>
    <w:p w:rsidR="00C57074" w:rsidRDefault="00C57074" w:rsidP="00C57074">
      <w:pPr>
        <w:pStyle w:val="UPhxBodyText2"/>
        <w:numPr>
          <w:ilvl w:val="2"/>
          <w:numId w:val="3"/>
        </w:numPr>
        <w:spacing w:before="0" w:after="120"/>
        <w:rPr>
          <w:sz w:val="24"/>
          <w:szCs w:val="24"/>
        </w:rPr>
      </w:pPr>
      <w:r>
        <w:rPr>
          <w:sz w:val="24"/>
          <w:szCs w:val="24"/>
        </w:rPr>
        <w:t>Company-bond-yield plus risk-premium approach:</w:t>
      </w:r>
    </w:p>
    <w:p w:rsidR="00C57074" w:rsidRDefault="00C57074" w:rsidP="00C57074">
      <w:pPr>
        <w:pStyle w:val="UPhxBodyText2"/>
        <w:spacing w:before="0" w:after="120"/>
        <w:ind w:left="2400"/>
        <w:rPr>
          <w:sz w:val="24"/>
          <w:szCs w:val="24"/>
        </w:rPr>
      </w:pPr>
      <w:proofErr w:type="spellStart"/>
      <w:proofErr w:type="gramStart"/>
      <w:r>
        <w:rPr>
          <w:sz w:val="24"/>
          <w:szCs w:val="24"/>
        </w:rPr>
        <w:t>r</w:t>
      </w:r>
      <w:r w:rsidRPr="00E3231E">
        <w:rPr>
          <w:sz w:val="24"/>
          <w:szCs w:val="24"/>
          <w:vertAlign w:val="subscript"/>
        </w:rPr>
        <w:t>s</w:t>
      </w:r>
      <w:proofErr w:type="spellEnd"/>
      <w:proofErr w:type="gramEnd"/>
      <w:r>
        <w:rPr>
          <w:sz w:val="24"/>
          <w:szCs w:val="24"/>
        </w:rPr>
        <w:t>= Original Bond Yield + Risk Premium</w:t>
      </w:r>
    </w:p>
    <w:p w:rsidR="00C57074" w:rsidRDefault="00C57074" w:rsidP="00C57074">
      <w:pPr>
        <w:pStyle w:val="UPhxBodyText2"/>
        <w:numPr>
          <w:ilvl w:val="2"/>
          <w:numId w:val="3"/>
        </w:numPr>
        <w:spacing w:before="0" w:after="120"/>
        <w:rPr>
          <w:sz w:val="24"/>
          <w:szCs w:val="24"/>
        </w:rPr>
      </w:pPr>
      <w:r>
        <w:rPr>
          <w:sz w:val="24"/>
          <w:szCs w:val="24"/>
        </w:rPr>
        <w:t>Capital Asset Pricing Model (CAPM):</w:t>
      </w:r>
    </w:p>
    <w:p w:rsidR="00C57074" w:rsidRPr="00E3231E" w:rsidRDefault="00C57074" w:rsidP="00C57074">
      <w:pPr>
        <w:pStyle w:val="UPhxBodyText2"/>
        <w:spacing w:before="0" w:after="120"/>
        <w:ind w:left="2400"/>
        <w:rPr>
          <w:sz w:val="24"/>
          <w:szCs w:val="24"/>
        </w:rPr>
      </w:pPr>
      <w:proofErr w:type="spellStart"/>
      <w:proofErr w:type="gramStart"/>
      <w:r>
        <w:rPr>
          <w:sz w:val="24"/>
          <w:szCs w:val="24"/>
        </w:rPr>
        <w:t>r</w:t>
      </w:r>
      <w:r w:rsidRPr="00E3231E">
        <w:rPr>
          <w:sz w:val="24"/>
          <w:szCs w:val="24"/>
          <w:vertAlign w:val="subscript"/>
        </w:rPr>
        <w:t>s</w:t>
      </w:r>
      <w:proofErr w:type="spellEnd"/>
      <w:proofErr w:type="gramEnd"/>
      <w:r>
        <w:rPr>
          <w:sz w:val="24"/>
          <w:szCs w:val="24"/>
        </w:rPr>
        <w:t xml:space="preserve">= </w:t>
      </w:r>
      <w:proofErr w:type="spellStart"/>
      <w:r>
        <w:rPr>
          <w:sz w:val="24"/>
          <w:szCs w:val="24"/>
        </w:rPr>
        <w:t>r</w:t>
      </w:r>
      <w:r w:rsidRPr="00E3231E">
        <w:rPr>
          <w:sz w:val="24"/>
          <w:szCs w:val="24"/>
          <w:vertAlign w:val="subscript"/>
        </w:rPr>
        <w:t>RF</w:t>
      </w:r>
      <w:proofErr w:type="spellEnd"/>
      <w:r>
        <w:rPr>
          <w:sz w:val="24"/>
          <w:szCs w:val="24"/>
        </w:rPr>
        <w:t xml:space="preserve"> + (RP</w:t>
      </w:r>
      <w:r w:rsidRPr="00E3231E">
        <w:rPr>
          <w:sz w:val="24"/>
          <w:szCs w:val="24"/>
          <w:vertAlign w:val="subscript"/>
        </w:rPr>
        <w:t>M</w:t>
      </w:r>
      <w:r>
        <w:rPr>
          <w:sz w:val="24"/>
          <w:szCs w:val="24"/>
        </w:rPr>
        <w:t>)b</w:t>
      </w:r>
      <w:r w:rsidRPr="00E3231E">
        <w:rPr>
          <w:sz w:val="24"/>
          <w:szCs w:val="24"/>
          <w:vertAlign w:val="subscript"/>
        </w:rPr>
        <w:t>i</w:t>
      </w:r>
      <w:r>
        <w:rPr>
          <w:sz w:val="24"/>
          <w:szCs w:val="24"/>
        </w:rPr>
        <w:t xml:space="preserve">, where </w:t>
      </w:r>
      <w:proofErr w:type="spellStart"/>
      <w:r>
        <w:rPr>
          <w:sz w:val="24"/>
          <w:szCs w:val="24"/>
        </w:rPr>
        <w:t>r</w:t>
      </w:r>
      <w:r w:rsidRPr="00E3231E">
        <w:rPr>
          <w:sz w:val="24"/>
          <w:szCs w:val="24"/>
          <w:vertAlign w:val="subscript"/>
        </w:rPr>
        <w:t>RF</w:t>
      </w:r>
      <w:proofErr w:type="spellEnd"/>
      <w:r>
        <w:rPr>
          <w:sz w:val="24"/>
          <w:szCs w:val="24"/>
        </w:rPr>
        <w:t xml:space="preserve"> = the risk-free rate, b</w:t>
      </w:r>
      <w:r w:rsidRPr="000E5163">
        <w:rPr>
          <w:sz w:val="24"/>
          <w:szCs w:val="24"/>
          <w:vertAlign w:val="subscript"/>
        </w:rPr>
        <w:t>i</w:t>
      </w:r>
      <w:r>
        <w:rPr>
          <w:sz w:val="24"/>
          <w:szCs w:val="24"/>
        </w:rPr>
        <w:t>= firm’s beta coefficient, and RP</w:t>
      </w:r>
      <w:r w:rsidRPr="000E5163">
        <w:rPr>
          <w:sz w:val="24"/>
          <w:szCs w:val="24"/>
          <w:vertAlign w:val="subscript"/>
        </w:rPr>
        <w:t>M</w:t>
      </w:r>
      <w:r>
        <w:rPr>
          <w:sz w:val="24"/>
          <w:szCs w:val="24"/>
        </w:rPr>
        <w:t xml:space="preserve"> = market risk premium</w:t>
      </w:r>
    </w:p>
    <w:p w:rsidR="00C57074" w:rsidRDefault="00C57074" w:rsidP="00C57074">
      <w:pPr>
        <w:pStyle w:val="UPhxBodyText2"/>
        <w:numPr>
          <w:ilvl w:val="2"/>
          <w:numId w:val="3"/>
        </w:numPr>
        <w:spacing w:before="0" w:after="120"/>
        <w:rPr>
          <w:sz w:val="24"/>
          <w:szCs w:val="24"/>
        </w:rPr>
      </w:pPr>
      <w:r>
        <w:rPr>
          <w:sz w:val="24"/>
          <w:szCs w:val="24"/>
        </w:rPr>
        <w:t>Global CAPM:</w:t>
      </w:r>
    </w:p>
    <w:p w:rsidR="00C57074" w:rsidRDefault="00C57074" w:rsidP="00C57074">
      <w:pPr>
        <w:pStyle w:val="UPhxBodyText2"/>
        <w:spacing w:before="0" w:after="120"/>
        <w:ind w:left="2400"/>
        <w:rPr>
          <w:sz w:val="24"/>
          <w:szCs w:val="24"/>
        </w:rPr>
      </w:pPr>
      <w:proofErr w:type="spellStart"/>
      <w:r>
        <w:rPr>
          <w:sz w:val="24"/>
          <w:szCs w:val="24"/>
        </w:rPr>
        <w:t>r</w:t>
      </w:r>
      <w:r w:rsidRPr="00E3231E">
        <w:rPr>
          <w:sz w:val="24"/>
          <w:szCs w:val="24"/>
          <w:vertAlign w:val="subscript"/>
        </w:rPr>
        <w:t>s</w:t>
      </w:r>
      <w:proofErr w:type="spellEnd"/>
      <w:r>
        <w:rPr>
          <w:sz w:val="24"/>
          <w:szCs w:val="24"/>
        </w:rPr>
        <w:t xml:space="preserve">= </w:t>
      </w:r>
      <w:proofErr w:type="spellStart"/>
      <w:r>
        <w:rPr>
          <w:sz w:val="24"/>
          <w:szCs w:val="24"/>
        </w:rPr>
        <w:t>r</w:t>
      </w:r>
      <w:r w:rsidRPr="00E3231E">
        <w:rPr>
          <w:sz w:val="24"/>
          <w:szCs w:val="24"/>
          <w:vertAlign w:val="subscript"/>
        </w:rPr>
        <w:t>RF</w:t>
      </w:r>
      <w:proofErr w:type="spellEnd"/>
      <w:r>
        <w:rPr>
          <w:sz w:val="24"/>
          <w:szCs w:val="24"/>
        </w:rPr>
        <w:t xml:space="preserve"> + (RP</w:t>
      </w:r>
      <w:r>
        <w:rPr>
          <w:sz w:val="24"/>
          <w:szCs w:val="24"/>
          <w:vertAlign w:val="subscript"/>
        </w:rPr>
        <w:t>W</w:t>
      </w:r>
      <w:r>
        <w:rPr>
          <w:sz w:val="24"/>
          <w:szCs w:val="24"/>
        </w:rPr>
        <w:t>)</w:t>
      </w:r>
      <w:proofErr w:type="spellStart"/>
      <w:r>
        <w:rPr>
          <w:sz w:val="24"/>
          <w:szCs w:val="24"/>
        </w:rPr>
        <w:t>b</w:t>
      </w:r>
      <w:r w:rsidRPr="00E3231E">
        <w:rPr>
          <w:sz w:val="24"/>
          <w:szCs w:val="24"/>
          <w:vertAlign w:val="subscript"/>
        </w:rPr>
        <w:t>i</w:t>
      </w:r>
      <w:r>
        <w:rPr>
          <w:sz w:val="24"/>
          <w:szCs w:val="24"/>
          <w:vertAlign w:val="subscript"/>
        </w:rPr>
        <w:t>W</w:t>
      </w:r>
      <w:proofErr w:type="spellEnd"/>
      <w:r>
        <w:rPr>
          <w:sz w:val="24"/>
          <w:szCs w:val="24"/>
        </w:rPr>
        <w:t xml:space="preserve">, where </w:t>
      </w:r>
      <w:proofErr w:type="spellStart"/>
      <w:r>
        <w:rPr>
          <w:sz w:val="24"/>
          <w:szCs w:val="24"/>
        </w:rPr>
        <w:t>r</w:t>
      </w:r>
      <w:r w:rsidRPr="00E3231E">
        <w:rPr>
          <w:sz w:val="24"/>
          <w:szCs w:val="24"/>
          <w:vertAlign w:val="subscript"/>
        </w:rPr>
        <w:t>RF</w:t>
      </w:r>
      <w:proofErr w:type="spellEnd"/>
      <w:r>
        <w:rPr>
          <w:sz w:val="24"/>
          <w:szCs w:val="24"/>
        </w:rPr>
        <w:t xml:space="preserve"> = the risk-free rate, </w:t>
      </w:r>
      <w:proofErr w:type="spellStart"/>
      <w:r>
        <w:rPr>
          <w:sz w:val="24"/>
          <w:szCs w:val="24"/>
        </w:rPr>
        <w:t>b</w:t>
      </w:r>
      <w:r w:rsidRPr="000E5163">
        <w:rPr>
          <w:sz w:val="24"/>
          <w:szCs w:val="24"/>
          <w:vertAlign w:val="subscript"/>
        </w:rPr>
        <w:t>i</w:t>
      </w:r>
      <w:r>
        <w:rPr>
          <w:sz w:val="24"/>
          <w:szCs w:val="24"/>
          <w:vertAlign w:val="subscript"/>
        </w:rPr>
        <w:t>W</w:t>
      </w:r>
      <w:proofErr w:type="spellEnd"/>
      <w:r>
        <w:rPr>
          <w:sz w:val="24"/>
          <w:szCs w:val="24"/>
        </w:rPr>
        <w:t>= firm’s beta coefficient calculated against the world index, and RP</w:t>
      </w:r>
      <w:r>
        <w:rPr>
          <w:sz w:val="24"/>
          <w:szCs w:val="24"/>
          <w:vertAlign w:val="subscript"/>
        </w:rPr>
        <w:t>W</w:t>
      </w:r>
      <w:r>
        <w:rPr>
          <w:sz w:val="24"/>
          <w:szCs w:val="24"/>
        </w:rPr>
        <w:t xml:space="preserve"> = world risk premium, usually taken from one of the world indices created by the larger investment banks, like Morgan Stanley’s Capital Market International (MSCI) value-weighted world index</w:t>
      </w:r>
    </w:p>
    <w:p w:rsidR="00C57074" w:rsidRDefault="00C57074" w:rsidP="00C57074">
      <w:pPr>
        <w:pStyle w:val="UPhxBodyText2"/>
        <w:spacing w:before="0" w:after="120"/>
        <w:ind w:left="2400"/>
        <w:rPr>
          <w:sz w:val="24"/>
          <w:szCs w:val="24"/>
        </w:rPr>
      </w:pPr>
    </w:p>
    <w:p w:rsidR="00C57074" w:rsidRDefault="00C57074" w:rsidP="00C57074">
      <w:pPr>
        <w:pStyle w:val="UPhxBodyText2"/>
        <w:spacing w:before="0" w:after="120"/>
        <w:ind w:left="2400"/>
        <w:rPr>
          <w:sz w:val="24"/>
          <w:szCs w:val="24"/>
        </w:rPr>
      </w:pPr>
    </w:p>
    <w:p w:rsidR="00C57074" w:rsidRDefault="00C57074" w:rsidP="00C57074">
      <w:pPr>
        <w:pStyle w:val="UPhxBodyText2"/>
        <w:spacing w:before="0" w:after="120"/>
        <w:ind w:left="2400"/>
        <w:rPr>
          <w:sz w:val="24"/>
          <w:szCs w:val="24"/>
        </w:rPr>
      </w:pPr>
    </w:p>
    <w:p w:rsidR="00C57074" w:rsidRDefault="00C57074" w:rsidP="00C57074">
      <w:pPr>
        <w:pStyle w:val="UPhxBodyText2"/>
        <w:spacing w:before="0" w:after="120"/>
        <w:ind w:left="2400"/>
        <w:rPr>
          <w:sz w:val="24"/>
          <w:szCs w:val="24"/>
        </w:rPr>
      </w:pPr>
    </w:p>
    <w:p w:rsidR="00C57074" w:rsidRDefault="00C57074" w:rsidP="00C57074">
      <w:pPr>
        <w:pStyle w:val="UPhxBodyText2"/>
        <w:spacing w:before="0" w:after="120"/>
        <w:ind w:left="2400"/>
        <w:rPr>
          <w:sz w:val="24"/>
          <w:szCs w:val="24"/>
        </w:rPr>
      </w:pPr>
    </w:p>
    <w:p w:rsidR="00C57074" w:rsidRDefault="00C57074" w:rsidP="00C57074">
      <w:pPr>
        <w:pStyle w:val="UPhxBodyText2"/>
        <w:spacing w:before="0" w:after="120"/>
        <w:ind w:left="2400"/>
        <w:rPr>
          <w:sz w:val="24"/>
          <w:szCs w:val="24"/>
        </w:rPr>
      </w:pPr>
      <w:bookmarkStart w:id="0" w:name="_GoBack"/>
      <w:bookmarkEnd w:id="0"/>
    </w:p>
    <w:p w:rsidR="00C57074" w:rsidRDefault="00C57074" w:rsidP="00C57074">
      <w:pPr>
        <w:pStyle w:val="UPhxBodyText2"/>
        <w:numPr>
          <w:ilvl w:val="0"/>
          <w:numId w:val="3"/>
        </w:numPr>
        <w:spacing w:before="0" w:after="120"/>
        <w:rPr>
          <w:sz w:val="24"/>
          <w:szCs w:val="24"/>
        </w:rPr>
      </w:pPr>
      <w:r>
        <w:rPr>
          <w:sz w:val="24"/>
          <w:szCs w:val="24"/>
        </w:rPr>
        <w:lastRenderedPageBreak/>
        <w:t>Weighted Average Cost of Capital (WACC):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920"/>
        <w:gridCol w:w="2520"/>
        <w:gridCol w:w="3468"/>
      </w:tblGrid>
      <w:tr w:rsidR="00C57074" w:rsidTr="00E40EF7">
        <w:tc>
          <w:tcPr>
            <w:tcW w:w="1668" w:type="dxa"/>
            <w:shd w:val="clear" w:color="auto" w:fill="0000FF"/>
          </w:tcPr>
          <w:p w:rsidR="00C57074" w:rsidRPr="005D6D12" w:rsidRDefault="00C57074" w:rsidP="00E40EF7">
            <w:pPr>
              <w:pStyle w:val="UPhxBodyText2"/>
              <w:spacing w:before="0" w:after="120"/>
              <w:ind w:left="0"/>
              <w:jc w:val="center"/>
              <w:rPr>
                <w:b/>
                <w:sz w:val="24"/>
                <w:szCs w:val="24"/>
              </w:rPr>
            </w:pPr>
            <w:r w:rsidRPr="005D6D12">
              <w:rPr>
                <w:b/>
                <w:sz w:val="24"/>
                <w:szCs w:val="24"/>
              </w:rPr>
              <w:t>Capital Component</w:t>
            </w:r>
          </w:p>
        </w:tc>
        <w:tc>
          <w:tcPr>
            <w:tcW w:w="1920" w:type="dxa"/>
            <w:shd w:val="clear" w:color="auto" w:fill="0000FF"/>
          </w:tcPr>
          <w:p w:rsidR="00C57074" w:rsidRPr="005D6D12" w:rsidRDefault="00C57074" w:rsidP="00E40EF7">
            <w:pPr>
              <w:pStyle w:val="UPhxBodyText2"/>
              <w:spacing w:before="0" w:after="120"/>
              <w:ind w:left="0"/>
              <w:jc w:val="center"/>
              <w:rPr>
                <w:b/>
                <w:sz w:val="24"/>
                <w:szCs w:val="24"/>
              </w:rPr>
            </w:pPr>
            <w:r w:rsidRPr="005D6D12">
              <w:rPr>
                <w:b/>
                <w:sz w:val="24"/>
                <w:szCs w:val="24"/>
              </w:rPr>
              <w:t>Target Weight:</w:t>
            </w:r>
          </w:p>
          <w:p w:rsidR="00C57074" w:rsidRPr="005D6D12" w:rsidRDefault="00C57074" w:rsidP="00E40EF7">
            <w:pPr>
              <w:pStyle w:val="UPhxBodyText2"/>
              <w:spacing w:before="0" w:after="120"/>
              <w:ind w:left="0"/>
              <w:jc w:val="center"/>
              <w:rPr>
                <w:b/>
                <w:sz w:val="24"/>
                <w:szCs w:val="24"/>
              </w:rPr>
            </w:pPr>
            <w:r w:rsidRPr="005D6D12">
              <w:rPr>
                <w:b/>
                <w:sz w:val="24"/>
                <w:szCs w:val="24"/>
              </w:rPr>
              <w:t>Column A</w:t>
            </w:r>
          </w:p>
        </w:tc>
        <w:tc>
          <w:tcPr>
            <w:tcW w:w="2520" w:type="dxa"/>
            <w:shd w:val="clear" w:color="auto" w:fill="0000FF"/>
          </w:tcPr>
          <w:p w:rsidR="00C57074" w:rsidRPr="005D6D12" w:rsidRDefault="00C57074" w:rsidP="00E40EF7">
            <w:pPr>
              <w:pStyle w:val="UPhxBodyText2"/>
              <w:spacing w:before="0" w:after="120"/>
              <w:ind w:left="0"/>
              <w:jc w:val="center"/>
              <w:rPr>
                <w:b/>
                <w:sz w:val="24"/>
                <w:szCs w:val="24"/>
              </w:rPr>
            </w:pPr>
            <w:r w:rsidRPr="005D6D12">
              <w:rPr>
                <w:b/>
                <w:sz w:val="24"/>
                <w:szCs w:val="24"/>
              </w:rPr>
              <w:t>After-Tax Component Cost:</w:t>
            </w:r>
          </w:p>
          <w:p w:rsidR="00C57074" w:rsidRPr="005D6D12" w:rsidRDefault="00C57074" w:rsidP="00E40EF7">
            <w:pPr>
              <w:pStyle w:val="UPhxBodyText2"/>
              <w:spacing w:before="0" w:after="120"/>
              <w:ind w:left="0"/>
              <w:jc w:val="center"/>
              <w:rPr>
                <w:b/>
                <w:sz w:val="24"/>
                <w:szCs w:val="24"/>
              </w:rPr>
            </w:pPr>
            <w:r w:rsidRPr="005D6D12">
              <w:rPr>
                <w:b/>
                <w:sz w:val="24"/>
                <w:szCs w:val="24"/>
              </w:rPr>
              <w:t>Column B</w:t>
            </w:r>
          </w:p>
        </w:tc>
        <w:tc>
          <w:tcPr>
            <w:tcW w:w="3468" w:type="dxa"/>
            <w:shd w:val="clear" w:color="auto" w:fill="0000FF"/>
          </w:tcPr>
          <w:p w:rsidR="00C57074" w:rsidRPr="005D6D12" w:rsidRDefault="00C57074" w:rsidP="00E40EF7">
            <w:pPr>
              <w:pStyle w:val="UPhxBodyText2"/>
              <w:spacing w:before="0" w:after="120"/>
              <w:ind w:left="0"/>
              <w:jc w:val="center"/>
              <w:rPr>
                <w:b/>
                <w:sz w:val="24"/>
                <w:szCs w:val="24"/>
              </w:rPr>
            </w:pPr>
            <w:r w:rsidRPr="005D6D12">
              <w:rPr>
                <w:b/>
                <w:sz w:val="24"/>
                <w:szCs w:val="24"/>
              </w:rPr>
              <w:t>After-Tax Weighted Cost</w:t>
            </w:r>
          </w:p>
          <w:p w:rsidR="00C57074" w:rsidRPr="005D6D12" w:rsidRDefault="00C57074" w:rsidP="00E40EF7">
            <w:pPr>
              <w:pStyle w:val="UPhxBodyText2"/>
              <w:spacing w:before="0" w:after="120"/>
              <w:ind w:left="0"/>
              <w:jc w:val="center"/>
              <w:rPr>
                <w:b/>
                <w:sz w:val="24"/>
                <w:szCs w:val="24"/>
              </w:rPr>
            </w:pPr>
            <w:r w:rsidRPr="005D6D12">
              <w:rPr>
                <w:b/>
                <w:sz w:val="24"/>
                <w:szCs w:val="24"/>
              </w:rPr>
              <w:t xml:space="preserve">Column C= </w:t>
            </w:r>
            <w:smartTag w:uri="urn:schemas-microsoft-com:office:smarttags" w:element="place">
              <w:smartTag w:uri="urn:schemas-microsoft-com:office:smarttags" w:element="City">
                <w:r w:rsidRPr="005D6D12">
                  <w:rPr>
                    <w:b/>
                    <w:sz w:val="24"/>
                    <w:szCs w:val="24"/>
                  </w:rPr>
                  <w:t>Column</w:t>
                </w:r>
              </w:smartTag>
              <w:r w:rsidRPr="005D6D12">
                <w:rPr>
                  <w:b/>
                  <w:sz w:val="24"/>
                  <w:szCs w:val="24"/>
                </w:rPr>
                <w:t xml:space="preserve"> </w:t>
              </w:r>
              <w:smartTag w:uri="urn:schemas-microsoft-com:office:smarttags" w:element="State">
                <w:r w:rsidRPr="005D6D12">
                  <w:rPr>
                    <w:b/>
                    <w:sz w:val="24"/>
                    <w:szCs w:val="24"/>
                  </w:rPr>
                  <w:t>AB</w:t>
                </w:r>
              </w:smartTag>
            </w:smartTag>
            <w:r w:rsidRPr="005D6D12">
              <w:rPr>
                <w:b/>
                <w:sz w:val="24"/>
                <w:szCs w:val="24"/>
              </w:rPr>
              <w:t xml:space="preserve"> (delimited in %)</w:t>
            </w:r>
          </w:p>
        </w:tc>
      </w:tr>
      <w:tr w:rsidR="00C57074" w:rsidTr="00E40EF7">
        <w:tc>
          <w:tcPr>
            <w:tcW w:w="1668" w:type="dxa"/>
            <w:shd w:val="clear" w:color="auto" w:fill="auto"/>
          </w:tcPr>
          <w:p w:rsidR="00C57074" w:rsidRPr="005D6D12" w:rsidRDefault="00C57074" w:rsidP="00E40EF7">
            <w:pPr>
              <w:pStyle w:val="UPhxBodyText2"/>
              <w:spacing w:before="0" w:after="120"/>
              <w:ind w:left="0"/>
              <w:rPr>
                <w:sz w:val="24"/>
                <w:szCs w:val="24"/>
              </w:rPr>
            </w:pPr>
            <w:r w:rsidRPr="005D6D12">
              <w:rPr>
                <w:sz w:val="24"/>
                <w:szCs w:val="24"/>
              </w:rPr>
              <w:t>Debt</w:t>
            </w:r>
          </w:p>
        </w:tc>
        <w:tc>
          <w:tcPr>
            <w:tcW w:w="1920" w:type="dxa"/>
            <w:shd w:val="clear" w:color="auto" w:fill="auto"/>
          </w:tcPr>
          <w:p w:rsidR="00C57074" w:rsidRPr="005D6D12" w:rsidRDefault="00C57074" w:rsidP="00E40EF7">
            <w:pPr>
              <w:pStyle w:val="UPhxBodyText2"/>
              <w:spacing w:before="0" w:after="120"/>
              <w:ind w:left="0"/>
              <w:jc w:val="center"/>
              <w:rPr>
                <w:sz w:val="24"/>
                <w:szCs w:val="24"/>
              </w:rPr>
            </w:pPr>
            <w:r w:rsidRPr="005D6D12">
              <w:rPr>
                <w:sz w:val="24"/>
                <w:szCs w:val="24"/>
              </w:rPr>
              <w:t>30%</w:t>
            </w:r>
          </w:p>
        </w:tc>
        <w:tc>
          <w:tcPr>
            <w:tcW w:w="2520" w:type="dxa"/>
            <w:shd w:val="clear" w:color="auto" w:fill="auto"/>
          </w:tcPr>
          <w:p w:rsidR="00C57074" w:rsidRPr="005D6D12" w:rsidRDefault="00C57074" w:rsidP="00E40EF7">
            <w:pPr>
              <w:pStyle w:val="UPhxBodyText2"/>
              <w:spacing w:before="0" w:after="120"/>
              <w:ind w:left="0"/>
              <w:jc w:val="center"/>
              <w:rPr>
                <w:sz w:val="24"/>
                <w:szCs w:val="24"/>
              </w:rPr>
            </w:pPr>
            <w:proofErr w:type="spellStart"/>
            <w:r w:rsidRPr="005D6D12">
              <w:rPr>
                <w:sz w:val="24"/>
                <w:szCs w:val="24"/>
              </w:rPr>
              <w:t>r</w:t>
            </w:r>
            <w:r w:rsidRPr="005D6D12">
              <w:rPr>
                <w:sz w:val="24"/>
                <w:szCs w:val="24"/>
                <w:vertAlign w:val="subscript"/>
              </w:rPr>
              <w:t>d</w:t>
            </w:r>
            <w:proofErr w:type="spellEnd"/>
            <w:r w:rsidRPr="005D6D12">
              <w:rPr>
                <w:sz w:val="24"/>
                <w:szCs w:val="24"/>
                <w:vertAlign w:val="subscript"/>
              </w:rPr>
              <w:t xml:space="preserve"> </w:t>
            </w:r>
            <w:r w:rsidRPr="005D6D12">
              <w:rPr>
                <w:sz w:val="24"/>
                <w:szCs w:val="24"/>
              </w:rPr>
              <w:t>(1-T)</w:t>
            </w:r>
          </w:p>
        </w:tc>
        <w:tc>
          <w:tcPr>
            <w:tcW w:w="3468" w:type="dxa"/>
            <w:shd w:val="clear" w:color="auto" w:fill="auto"/>
          </w:tcPr>
          <w:p w:rsidR="00C57074" w:rsidRPr="005D6D12" w:rsidRDefault="00C57074" w:rsidP="00E40EF7">
            <w:pPr>
              <w:pStyle w:val="UPhxBodyText2"/>
              <w:spacing w:before="0" w:after="120"/>
              <w:ind w:left="0"/>
              <w:jc w:val="center"/>
              <w:rPr>
                <w:sz w:val="24"/>
                <w:szCs w:val="24"/>
              </w:rPr>
            </w:pPr>
            <w:r w:rsidRPr="005D6D12">
              <w:rPr>
                <w:sz w:val="24"/>
                <w:szCs w:val="24"/>
              </w:rPr>
              <w:t xml:space="preserve">(0.30) </w:t>
            </w:r>
            <w:proofErr w:type="spellStart"/>
            <w:r w:rsidRPr="005D6D12">
              <w:rPr>
                <w:sz w:val="24"/>
                <w:szCs w:val="24"/>
              </w:rPr>
              <w:t>r</w:t>
            </w:r>
            <w:r w:rsidRPr="005D6D12">
              <w:rPr>
                <w:sz w:val="24"/>
                <w:szCs w:val="24"/>
                <w:vertAlign w:val="subscript"/>
              </w:rPr>
              <w:t>d</w:t>
            </w:r>
            <w:proofErr w:type="spellEnd"/>
            <w:r w:rsidRPr="005D6D12">
              <w:rPr>
                <w:sz w:val="24"/>
                <w:szCs w:val="24"/>
                <w:vertAlign w:val="subscript"/>
              </w:rPr>
              <w:t xml:space="preserve"> </w:t>
            </w:r>
            <w:r w:rsidRPr="005D6D12">
              <w:rPr>
                <w:sz w:val="24"/>
                <w:szCs w:val="24"/>
              </w:rPr>
              <w:t>(1-T)</w:t>
            </w:r>
          </w:p>
        </w:tc>
      </w:tr>
      <w:tr w:rsidR="00C57074" w:rsidTr="00E40EF7">
        <w:tc>
          <w:tcPr>
            <w:tcW w:w="1668" w:type="dxa"/>
            <w:shd w:val="clear" w:color="auto" w:fill="auto"/>
          </w:tcPr>
          <w:p w:rsidR="00C57074" w:rsidRPr="005D6D12" w:rsidRDefault="00C57074" w:rsidP="00E40EF7">
            <w:pPr>
              <w:pStyle w:val="UPhxBodyText2"/>
              <w:spacing w:before="0" w:after="120"/>
              <w:ind w:left="0"/>
              <w:rPr>
                <w:sz w:val="24"/>
                <w:szCs w:val="24"/>
              </w:rPr>
            </w:pPr>
            <w:r w:rsidRPr="005D6D12">
              <w:rPr>
                <w:sz w:val="24"/>
                <w:szCs w:val="24"/>
              </w:rPr>
              <w:t>Preferred</w:t>
            </w:r>
          </w:p>
        </w:tc>
        <w:tc>
          <w:tcPr>
            <w:tcW w:w="1920" w:type="dxa"/>
            <w:shd w:val="clear" w:color="auto" w:fill="auto"/>
          </w:tcPr>
          <w:p w:rsidR="00C57074" w:rsidRPr="005D6D12" w:rsidRDefault="00C57074" w:rsidP="00E40EF7">
            <w:pPr>
              <w:pStyle w:val="UPhxBodyText2"/>
              <w:spacing w:before="0" w:after="120"/>
              <w:ind w:left="0"/>
              <w:jc w:val="center"/>
              <w:rPr>
                <w:sz w:val="24"/>
                <w:szCs w:val="24"/>
              </w:rPr>
            </w:pPr>
            <w:r w:rsidRPr="005D6D12">
              <w:rPr>
                <w:sz w:val="24"/>
                <w:szCs w:val="24"/>
              </w:rPr>
              <w:t>10%</w:t>
            </w:r>
          </w:p>
        </w:tc>
        <w:tc>
          <w:tcPr>
            <w:tcW w:w="2520" w:type="dxa"/>
            <w:shd w:val="clear" w:color="auto" w:fill="auto"/>
          </w:tcPr>
          <w:p w:rsidR="00C57074" w:rsidRPr="005D6D12" w:rsidRDefault="00C57074" w:rsidP="00E40EF7">
            <w:pPr>
              <w:pStyle w:val="UPhxBodyText2"/>
              <w:spacing w:before="0" w:after="120"/>
              <w:ind w:left="0"/>
              <w:jc w:val="center"/>
              <w:rPr>
                <w:sz w:val="24"/>
                <w:szCs w:val="24"/>
              </w:rPr>
            </w:pPr>
            <w:proofErr w:type="spellStart"/>
            <w:r w:rsidRPr="005D6D12">
              <w:rPr>
                <w:sz w:val="24"/>
                <w:szCs w:val="24"/>
              </w:rPr>
              <w:t>r</w:t>
            </w:r>
            <w:r w:rsidRPr="005D6D12">
              <w:rPr>
                <w:sz w:val="24"/>
                <w:szCs w:val="24"/>
                <w:vertAlign w:val="subscript"/>
              </w:rPr>
              <w:t>ps</w:t>
            </w:r>
            <w:proofErr w:type="spellEnd"/>
            <w:r w:rsidRPr="005D6D12">
              <w:rPr>
                <w:sz w:val="24"/>
                <w:szCs w:val="24"/>
              </w:rPr>
              <w:t xml:space="preserve">= </w:t>
            </w:r>
            <w:r w:rsidRPr="005D6D12">
              <w:rPr>
                <w:position w:val="-28"/>
                <w:sz w:val="24"/>
                <w:szCs w:val="24"/>
              </w:rPr>
              <w:object w:dxaOrig="720" w:dyaOrig="660">
                <v:shape id="_x0000_i1028" type="#_x0000_t75" style="width:36pt;height:32.65pt" o:ole="">
                  <v:imagedata r:id="rId10" o:title=""/>
                </v:shape>
                <o:OLEObject Type="Embed" ProgID="Equation.3" ShapeID="_x0000_i1028" DrawAspect="Content" ObjectID="_1361904346" r:id="rId12"/>
              </w:object>
            </w:r>
          </w:p>
        </w:tc>
        <w:tc>
          <w:tcPr>
            <w:tcW w:w="3468" w:type="dxa"/>
            <w:shd w:val="clear" w:color="auto" w:fill="auto"/>
          </w:tcPr>
          <w:p w:rsidR="00C57074" w:rsidRPr="005D6D12" w:rsidRDefault="00C57074" w:rsidP="00E40EF7">
            <w:pPr>
              <w:pStyle w:val="UPhxBodyText2"/>
              <w:spacing w:before="0" w:after="120"/>
              <w:ind w:left="0"/>
              <w:jc w:val="center"/>
              <w:rPr>
                <w:sz w:val="24"/>
                <w:szCs w:val="24"/>
              </w:rPr>
            </w:pPr>
            <w:r w:rsidRPr="005D6D12">
              <w:rPr>
                <w:sz w:val="24"/>
                <w:szCs w:val="24"/>
              </w:rPr>
              <w:t xml:space="preserve">(0.10) </w:t>
            </w:r>
            <w:proofErr w:type="spellStart"/>
            <w:r w:rsidRPr="005D6D12">
              <w:rPr>
                <w:sz w:val="24"/>
                <w:szCs w:val="24"/>
              </w:rPr>
              <w:t>r</w:t>
            </w:r>
            <w:r w:rsidRPr="005D6D12">
              <w:rPr>
                <w:sz w:val="24"/>
                <w:szCs w:val="24"/>
                <w:vertAlign w:val="subscript"/>
              </w:rPr>
              <w:t>ps</w:t>
            </w:r>
            <w:proofErr w:type="spellEnd"/>
            <w:r w:rsidRPr="005D6D12">
              <w:rPr>
                <w:sz w:val="24"/>
                <w:szCs w:val="24"/>
              </w:rPr>
              <w:t xml:space="preserve">= </w:t>
            </w:r>
            <w:r w:rsidRPr="005D6D12">
              <w:rPr>
                <w:position w:val="-28"/>
                <w:sz w:val="24"/>
                <w:szCs w:val="24"/>
              </w:rPr>
              <w:object w:dxaOrig="720" w:dyaOrig="660">
                <v:shape id="_x0000_i1029" type="#_x0000_t75" style="width:36pt;height:32.65pt" o:ole="">
                  <v:imagedata r:id="rId10" o:title=""/>
                </v:shape>
                <o:OLEObject Type="Embed" ProgID="Equation.3" ShapeID="_x0000_i1029" DrawAspect="Content" ObjectID="_1361904347" r:id="rId13"/>
              </w:object>
            </w:r>
          </w:p>
        </w:tc>
      </w:tr>
      <w:tr w:rsidR="00C57074" w:rsidTr="00E40EF7">
        <w:tc>
          <w:tcPr>
            <w:tcW w:w="1668" w:type="dxa"/>
            <w:shd w:val="clear" w:color="auto" w:fill="auto"/>
          </w:tcPr>
          <w:p w:rsidR="00C57074" w:rsidRPr="005D6D12" w:rsidRDefault="00C57074" w:rsidP="00E40EF7">
            <w:pPr>
              <w:pStyle w:val="UPhxBodyText2"/>
              <w:spacing w:before="0" w:after="120"/>
              <w:ind w:left="0"/>
              <w:rPr>
                <w:sz w:val="24"/>
                <w:szCs w:val="24"/>
              </w:rPr>
            </w:pPr>
            <w:r w:rsidRPr="005D6D12">
              <w:rPr>
                <w:sz w:val="24"/>
                <w:szCs w:val="24"/>
              </w:rPr>
              <w:t>Common</w:t>
            </w:r>
          </w:p>
        </w:tc>
        <w:tc>
          <w:tcPr>
            <w:tcW w:w="1920" w:type="dxa"/>
            <w:shd w:val="clear" w:color="auto" w:fill="auto"/>
          </w:tcPr>
          <w:p w:rsidR="00C57074" w:rsidRPr="005D6D12" w:rsidRDefault="00C57074" w:rsidP="00E40EF7">
            <w:pPr>
              <w:pStyle w:val="UPhxBodyText2"/>
              <w:spacing w:before="0" w:after="120"/>
              <w:ind w:left="0"/>
              <w:jc w:val="center"/>
              <w:rPr>
                <w:sz w:val="24"/>
                <w:szCs w:val="24"/>
              </w:rPr>
            </w:pPr>
            <w:r w:rsidRPr="005D6D12">
              <w:rPr>
                <w:sz w:val="24"/>
                <w:szCs w:val="24"/>
              </w:rPr>
              <w:t>60%</w:t>
            </w:r>
          </w:p>
        </w:tc>
        <w:tc>
          <w:tcPr>
            <w:tcW w:w="2520" w:type="dxa"/>
            <w:shd w:val="clear" w:color="auto" w:fill="auto"/>
          </w:tcPr>
          <w:p w:rsidR="00C57074" w:rsidRPr="005D6D12" w:rsidRDefault="00C57074" w:rsidP="00E40EF7">
            <w:pPr>
              <w:pStyle w:val="UPhxBodyText2"/>
              <w:spacing w:before="0" w:after="120"/>
              <w:ind w:left="0"/>
              <w:jc w:val="center"/>
              <w:rPr>
                <w:sz w:val="24"/>
                <w:szCs w:val="24"/>
              </w:rPr>
            </w:pPr>
            <w:proofErr w:type="spellStart"/>
            <w:r w:rsidRPr="005D6D12">
              <w:rPr>
                <w:sz w:val="24"/>
                <w:szCs w:val="24"/>
              </w:rPr>
              <w:t>r</w:t>
            </w:r>
            <w:r w:rsidRPr="005D6D12">
              <w:rPr>
                <w:sz w:val="24"/>
                <w:szCs w:val="24"/>
                <w:vertAlign w:val="subscript"/>
              </w:rPr>
              <w:t>s</w:t>
            </w:r>
            <w:proofErr w:type="spellEnd"/>
            <w:r w:rsidRPr="005D6D12">
              <w:rPr>
                <w:sz w:val="24"/>
                <w:szCs w:val="24"/>
              </w:rPr>
              <w:t xml:space="preserve">= </w:t>
            </w:r>
            <w:proofErr w:type="spellStart"/>
            <w:r w:rsidRPr="005D6D12">
              <w:rPr>
                <w:sz w:val="24"/>
                <w:szCs w:val="24"/>
              </w:rPr>
              <w:t>r</w:t>
            </w:r>
            <w:r w:rsidRPr="005D6D12">
              <w:rPr>
                <w:sz w:val="24"/>
                <w:szCs w:val="24"/>
                <w:vertAlign w:val="subscript"/>
              </w:rPr>
              <w:t>RF</w:t>
            </w:r>
            <w:proofErr w:type="spellEnd"/>
            <w:r w:rsidRPr="005D6D12">
              <w:rPr>
                <w:sz w:val="24"/>
                <w:szCs w:val="24"/>
              </w:rPr>
              <w:t xml:space="preserve"> + (RP</w:t>
            </w:r>
            <w:r w:rsidRPr="005D6D12">
              <w:rPr>
                <w:sz w:val="24"/>
                <w:szCs w:val="24"/>
                <w:vertAlign w:val="subscript"/>
              </w:rPr>
              <w:t>W</w:t>
            </w:r>
            <w:r w:rsidRPr="005D6D12">
              <w:rPr>
                <w:sz w:val="24"/>
                <w:szCs w:val="24"/>
              </w:rPr>
              <w:t>)</w:t>
            </w:r>
            <w:proofErr w:type="spellStart"/>
            <w:r w:rsidRPr="005D6D12">
              <w:rPr>
                <w:sz w:val="24"/>
                <w:szCs w:val="24"/>
              </w:rPr>
              <w:t>b</w:t>
            </w:r>
            <w:r w:rsidRPr="005D6D12">
              <w:rPr>
                <w:sz w:val="24"/>
                <w:szCs w:val="24"/>
                <w:vertAlign w:val="subscript"/>
              </w:rPr>
              <w:t>iW</w:t>
            </w:r>
            <w:proofErr w:type="spellEnd"/>
          </w:p>
        </w:tc>
        <w:tc>
          <w:tcPr>
            <w:tcW w:w="3468" w:type="dxa"/>
            <w:shd w:val="clear" w:color="auto" w:fill="auto"/>
          </w:tcPr>
          <w:p w:rsidR="00C57074" w:rsidRPr="005D6D12" w:rsidRDefault="00C57074" w:rsidP="00E40EF7">
            <w:pPr>
              <w:pStyle w:val="UPhxBodyText2"/>
              <w:spacing w:before="0" w:after="120"/>
              <w:ind w:left="0"/>
              <w:jc w:val="center"/>
              <w:rPr>
                <w:sz w:val="24"/>
                <w:szCs w:val="24"/>
              </w:rPr>
            </w:pPr>
            <w:r w:rsidRPr="005D6D12">
              <w:rPr>
                <w:sz w:val="24"/>
                <w:szCs w:val="24"/>
              </w:rPr>
              <w:t xml:space="preserve">(0.60) </w:t>
            </w:r>
            <w:proofErr w:type="spellStart"/>
            <w:r w:rsidRPr="005D6D12">
              <w:rPr>
                <w:sz w:val="24"/>
                <w:szCs w:val="24"/>
              </w:rPr>
              <w:t>r</w:t>
            </w:r>
            <w:r w:rsidRPr="005D6D12">
              <w:rPr>
                <w:sz w:val="24"/>
                <w:szCs w:val="24"/>
                <w:vertAlign w:val="subscript"/>
              </w:rPr>
              <w:t>s</w:t>
            </w:r>
            <w:proofErr w:type="spellEnd"/>
            <w:r w:rsidRPr="005D6D12">
              <w:rPr>
                <w:sz w:val="24"/>
                <w:szCs w:val="24"/>
              </w:rPr>
              <w:t xml:space="preserve">= </w:t>
            </w:r>
            <w:proofErr w:type="spellStart"/>
            <w:r w:rsidRPr="005D6D12">
              <w:rPr>
                <w:sz w:val="24"/>
                <w:szCs w:val="24"/>
              </w:rPr>
              <w:t>r</w:t>
            </w:r>
            <w:r w:rsidRPr="005D6D12">
              <w:rPr>
                <w:sz w:val="24"/>
                <w:szCs w:val="24"/>
                <w:vertAlign w:val="subscript"/>
              </w:rPr>
              <w:t>RF</w:t>
            </w:r>
            <w:proofErr w:type="spellEnd"/>
            <w:r w:rsidRPr="005D6D12">
              <w:rPr>
                <w:sz w:val="24"/>
                <w:szCs w:val="24"/>
              </w:rPr>
              <w:t xml:space="preserve"> + (RP</w:t>
            </w:r>
            <w:r w:rsidRPr="005D6D12">
              <w:rPr>
                <w:sz w:val="24"/>
                <w:szCs w:val="24"/>
                <w:vertAlign w:val="subscript"/>
              </w:rPr>
              <w:t>W</w:t>
            </w:r>
            <w:r w:rsidRPr="005D6D12">
              <w:rPr>
                <w:sz w:val="24"/>
                <w:szCs w:val="24"/>
              </w:rPr>
              <w:t>)</w:t>
            </w:r>
            <w:proofErr w:type="spellStart"/>
            <w:r w:rsidRPr="005D6D12">
              <w:rPr>
                <w:sz w:val="24"/>
                <w:szCs w:val="24"/>
              </w:rPr>
              <w:t>b</w:t>
            </w:r>
            <w:r w:rsidRPr="005D6D12">
              <w:rPr>
                <w:sz w:val="24"/>
                <w:szCs w:val="24"/>
                <w:vertAlign w:val="subscript"/>
              </w:rPr>
              <w:t>iW</w:t>
            </w:r>
            <w:proofErr w:type="spellEnd"/>
          </w:p>
        </w:tc>
      </w:tr>
      <w:tr w:rsidR="00C57074" w:rsidTr="00E40EF7">
        <w:tc>
          <w:tcPr>
            <w:tcW w:w="1668" w:type="dxa"/>
            <w:shd w:val="clear" w:color="auto" w:fill="auto"/>
          </w:tcPr>
          <w:p w:rsidR="00C57074" w:rsidRPr="005D6D12" w:rsidRDefault="00C57074" w:rsidP="00E40EF7">
            <w:pPr>
              <w:pStyle w:val="UPhxBodyText2"/>
              <w:spacing w:before="0" w:after="120"/>
              <w:ind w:left="0"/>
              <w:jc w:val="center"/>
              <w:rPr>
                <w:sz w:val="24"/>
                <w:szCs w:val="24"/>
              </w:rPr>
            </w:pPr>
          </w:p>
        </w:tc>
        <w:tc>
          <w:tcPr>
            <w:tcW w:w="1920" w:type="dxa"/>
            <w:shd w:val="clear" w:color="auto" w:fill="auto"/>
          </w:tcPr>
          <w:p w:rsidR="00C57074" w:rsidRPr="005D6D12" w:rsidRDefault="00C57074" w:rsidP="00E40EF7">
            <w:pPr>
              <w:pStyle w:val="UPhxBodyText2"/>
              <w:spacing w:before="0" w:after="120"/>
              <w:ind w:left="0"/>
              <w:jc w:val="center"/>
              <w:rPr>
                <w:sz w:val="24"/>
                <w:szCs w:val="24"/>
              </w:rPr>
            </w:pPr>
          </w:p>
        </w:tc>
        <w:tc>
          <w:tcPr>
            <w:tcW w:w="2520" w:type="dxa"/>
            <w:shd w:val="clear" w:color="auto" w:fill="auto"/>
          </w:tcPr>
          <w:p w:rsidR="00C57074" w:rsidRPr="005D6D12" w:rsidRDefault="00C57074" w:rsidP="00E40EF7">
            <w:pPr>
              <w:pStyle w:val="UPhxBodyText2"/>
              <w:spacing w:before="0" w:after="120"/>
              <w:ind w:left="0"/>
              <w:jc w:val="right"/>
              <w:rPr>
                <w:b/>
                <w:color w:val="0000FF"/>
                <w:sz w:val="24"/>
                <w:szCs w:val="24"/>
              </w:rPr>
            </w:pPr>
            <w:r w:rsidRPr="005D6D12">
              <w:rPr>
                <w:b/>
                <w:color w:val="0000FF"/>
                <w:sz w:val="24"/>
                <w:szCs w:val="24"/>
              </w:rPr>
              <w:t>WACC</w:t>
            </w:r>
          </w:p>
        </w:tc>
        <w:tc>
          <w:tcPr>
            <w:tcW w:w="3468" w:type="dxa"/>
            <w:shd w:val="clear" w:color="auto" w:fill="auto"/>
          </w:tcPr>
          <w:p w:rsidR="00C57074" w:rsidRPr="005D6D12" w:rsidRDefault="00C57074" w:rsidP="00E40EF7">
            <w:pPr>
              <w:pStyle w:val="UPhxBodyText2"/>
              <w:spacing w:before="0" w:after="120"/>
              <w:ind w:left="0"/>
              <w:jc w:val="center"/>
              <w:rPr>
                <w:sz w:val="24"/>
                <w:szCs w:val="24"/>
              </w:rPr>
            </w:pPr>
            <w:r w:rsidRPr="005D6D12">
              <w:rPr>
                <w:rFonts w:cs="Arial"/>
                <w:sz w:val="24"/>
                <w:szCs w:val="24"/>
              </w:rPr>
              <w:t>Σ</w:t>
            </w:r>
            <w:r w:rsidRPr="005D6D12">
              <w:rPr>
                <w:sz w:val="24"/>
                <w:szCs w:val="24"/>
              </w:rPr>
              <w:t xml:space="preserve"> Column C</w:t>
            </w:r>
          </w:p>
        </w:tc>
      </w:tr>
    </w:tbl>
    <w:p w:rsidR="00C57074" w:rsidRDefault="00C57074" w:rsidP="00C57074">
      <w:pPr>
        <w:pStyle w:val="UPhxBodyText2"/>
        <w:spacing w:before="0" w:after="120"/>
        <w:ind w:left="0"/>
        <w:jc w:val="center"/>
        <w:rPr>
          <w:sz w:val="24"/>
          <w:szCs w:val="24"/>
        </w:rPr>
      </w:pPr>
    </w:p>
    <w:p w:rsidR="00C57074" w:rsidRDefault="00C57074" w:rsidP="00C57074">
      <w:pPr>
        <w:pStyle w:val="UPhxBodyText2"/>
        <w:spacing w:before="0" w:after="120"/>
        <w:ind w:left="0"/>
        <w:rPr>
          <w:sz w:val="24"/>
          <w:szCs w:val="24"/>
        </w:rPr>
      </w:pPr>
      <w:r>
        <w:rPr>
          <w:sz w:val="24"/>
          <w:szCs w:val="24"/>
        </w:rPr>
        <w:t xml:space="preserve">The values in Column A: Target Weight is an arbitrary number, agreed upon by the senior management of the subsidiary or parent organization. While the 30%/10%/60% is a “common” valuation in large manufacturing or project-oriented firms, it is my no means the “only” mix appropriate to your venture. No matter the values used for Column A, you will </w:t>
      </w:r>
      <w:r w:rsidRPr="00415DE1">
        <w:rPr>
          <w:b/>
          <w:color w:val="FF0000"/>
          <w:sz w:val="24"/>
          <w:szCs w:val="24"/>
        </w:rPr>
        <w:t>still have to support your assumptions</w:t>
      </w:r>
      <w:r>
        <w:rPr>
          <w:sz w:val="24"/>
          <w:szCs w:val="24"/>
        </w:rPr>
        <w:t xml:space="preserve"> on the appropriate mix for your transnational business.</w:t>
      </w:r>
    </w:p>
    <w:p w:rsidR="00C57074" w:rsidRDefault="00C57074" w:rsidP="00C57074">
      <w:pPr>
        <w:pStyle w:val="UPhxBodyText2"/>
        <w:numPr>
          <w:ilvl w:val="0"/>
          <w:numId w:val="3"/>
        </w:numPr>
        <w:spacing w:before="0" w:after="120"/>
        <w:rPr>
          <w:sz w:val="24"/>
          <w:szCs w:val="24"/>
        </w:rPr>
      </w:pPr>
      <w:r>
        <w:rPr>
          <w:sz w:val="24"/>
          <w:szCs w:val="24"/>
        </w:rPr>
        <w:t>Net Present Value, Internal Rate of Return, and the Payback Period:</w:t>
      </w:r>
    </w:p>
    <w:p w:rsidR="00C57074" w:rsidRDefault="00C57074" w:rsidP="00C57074">
      <w:pPr>
        <w:pStyle w:val="UPhxBodyText2"/>
        <w:numPr>
          <w:ilvl w:val="1"/>
          <w:numId w:val="3"/>
        </w:numPr>
        <w:spacing w:before="0" w:after="120"/>
        <w:rPr>
          <w:sz w:val="24"/>
          <w:szCs w:val="24"/>
        </w:rPr>
      </w:pPr>
      <w:r>
        <w:rPr>
          <w:sz w:val="24"/>
          <w:szCs w:val="24"/>
        </w:rPr>
        <w:t>Net Present Value, NPV:</w:t>
      </w:r>
    </w:p>
    <w:p w:rsidR="00C57074" w:rsidRDefault="00C57074" w:rsidP="00C57074">
      <w:pPr>
        <w:pStyle w:val="UPhxBodyText2"/>
        <w:spacing w:before="0" w:after="120"/>
        <w:ind w:left="1440"/>
        <w:rPr>
          <w:sz w:val="24"/>
          <w:szCs w:val="24"/>
        </w:rPr>
      </w:pPr>
      <w:r>
        <w:rPr>
          <w:sz w:val="24"/>
          <w:szCs w:val="24"/>
        </w:rPr>
        <w:t xml:space="preserve">NPV </w:t>
      </w:r>
      <w:proofErr w:type="gramStart"/>
      <w:r>
        <w:rPr>
          <w:sz w:val="24"/>
          <w:szCs w:val="24"/>
        </w:rPr>
        <w:t xml:space="preserve">= </w:t>
      </w:r>
      <w:proofErr w:type="gramEnd"/>
      <w:r w:rsidRPr="00BF7212">
        <w:rPr>
          <w:position w:val="-30"/>
          <w:sz w:val="24"/>
          <w:szCs w:val="24"/>
        </w:rPr>
        <w:object w:dxaOrig="1620" w:dyaOrig="700">
          <v:shape id="_x0000_i1030" type="#_x0000_t75" style="width:81.2pt;height:35.15pt" o:ole="">
            <v:imagedata r:id="rId14" o:title=""/>
          </v:shape>
          <o:OLEObject Type="Embed" ProgID="Equation.3" ShapeID="_x0000_i1030" DrawAspect="Content" ObjectID="_1361904348" r:id="rId15"/>
        </w:object>
      </w:r>
      <w:r>
        <w:rPr>
          <w:sz w:val="24"/>
          <w:szCs w:val="24"/>
        </w:rPr>
        <w:t>, where:</w:t>
      </w:r>
    </w:p>
    <w:p w:rsidR="00C57074" w:rsidRDefault="00C57074" w:rsidP="00C57074">
      <w:pPr>
        <w:pStyle w:val="UPhxBodyText2"/>
        <w:numPr>
          <w:ilvl w:val="2"/>
          <w:numId w:val="3"/>
        </w:numPr>
        <w:spacing w:before="0" w:after="120"/>
        <w:rPr>
          <w:sz w:val="24"/>
          <w:szCs w:val="24"/>
        </w:rPr>
      </w:pPr>
      <w:proofErr w:type="spellStart"/>
      <w:r>
        <w:rPr>
          <w:sz w:val="24"/>
          <w:szCs w:val="24"/>
        </w:rPr>
        <w:t>CF</w:t>
      </w:r>
      <w:r w:rsidRPr="00BF7212">
        <w:rPr>
          <w:sz w:val="24"/>
          <w:szCs w:val="24"/>
          <w:vertAlign w:val="subscript"/>
        </w:rPr>
        <w:t>t</w:t>
      </w:r>
      <w:proofErr w:type="spellEnd"/>
      <w:r>
        <w:rPr>
          <w:sz w:val="24"/>
          <w:szCs w:val="24"/>
        </w:rPr>
        <w:t xml:space="preserve"> is the total cash flows for the project/new venture/subsidiary over a period, n</w:t>
      </w:r>
    </w:p>
    <w:p w:rsidR="00C57074" w:rsidRDefault="00C57074" w:rsidP="00C57074">
      <w:pPr>
        <w:pStyle w:val="UPhxBodyText2"/>
        <w:numPr>
          <w:ilvl w:val="2"/>
          <w:numId w:val="3"/>
        </w:numPr>
        <w:spacing w:before="0" w:after="120"/>
        <w:rPr>
          <w:sz w:val="24"/>
          <w:szCs w:val="24"/>
        </w:rPr>
      </w:pPr>
      <w:r>
        <w:rPr>
          <w:sz w:val="24"/>
          <w:szCs w:val="24"/>
        </w:rPr>
        <w:t>WACC is the Weighted Average Cost of Capital, and is described above</w:t>
      </w:r>
    </w:p>
    <w:p w:rsidR="00C57074" w:rsidRDefault="00C57074" w:rsidP="00C57074">
      <w:pPr>
        <w:pStyle w:val="UPhxBodyText2"/>
        <w:numPr>
          <w:ilvl w:val="2"/>
          <w:numId w:val="3"/>
        </w:numPr>
        <w:spacing w:before="0" w:after="120"/>
        <w:rPr>
          <w:sz w:val="24"/>
          <w:szCs w:val="24"/>
        </w:rPr>
      </w:pPr>
      <w:r w:rsidRPr="00AB1EAD">
        <w:rPr>
          <w:i/>
          <w:sz w:val="24"/>
          <w:szCs w:val="24"/>
        </w:rPr>
        <w:t>n</w:t>
      </w:r>
      <w:r>
        <w:rPr>
          <w:sz w:val="24"/>
          <w:szCs w:val="24"/>
        </w:rPr>
        <w:t xml:space="preserve"> is the period over which the project/ new subsidiary is said to be in the start-up period, and is agreed upon by senior management before start of project</w:t>
      </w:r>
    </w:p>
    <w:p w:rsidR="00C57074" w:rsidRDefault="00C57074" w:rsidP="00C57074">
      <w:pPr>
        <w:pStyle w:val="UPhxBodyText2"/>
        <w:numPr>
          <w:ilvl w:val="2"/>
          <w:numId w:val="3"/>
        </w:numPr>
        <w:spacing w:before="0" w:after="120"/>
        <w:rPr>
          <w:sz w:val="24"/>
          <w:szCs w:val="24"/>
        </w:rPr>
      </w:pPr>
      <w:proofErr w:type="spellStart"/>
      <w:r>
        <w:rPr>
          <w:sz w:val="24"/>
          <w:szCs w:val="24"/>
        </w:rPr>
        <w:t>CF</w:t>
      </w:r>
      <w:r w:rsidRPr="00AB1EAD">
        <w:rPr>
          <w:sz w:val="24"/>
          <w:szCs w:val="24"/>
          <w:vertAlign w:val="subscript"/>
        </w:rPr>
        <w:t>t</w:t>
      </w:r>
      <w:proofErr w:type="spellEnd"/>
      <w:r>
        <w:rPr>
          <w:sz w:val="24"/>
          <w:szCs w:val="24"/>
        </w:rPr>
        <w:t>, WACC, &amp; n are all estimates</w:t>
      </w:r>
    </w:p>
    <w:p w:rsidR="00C57074" w:rsidRDefault="00C57074" w:rsidP="00C57074">
      <w:pPr>
        <w:pStyle w:val="UPhxBodyText2"/>
        <w:numPr>
          <w:ilvl w:val="1"/>
          <w:numId w:val="3"/>
        </w:numPr>
        <w:spacing w:before="0" w:after="120"/>
        <w:rPr>
          <w:sz w:val="24"/>
          <w:szCs w:val="24"/>
        </w:rPr>
      </w:pPr>
      <w:r>
        <w:rPr>
          <w:sz w:val="24"/>
          <w:szCs w:val="24"/>
        </w:rPr>
        <w:t>Internal Rate of Return, IRR:</w:t>
      </w:r>
    </w:p>
    <w:p w:rsidR="00C57074" w:rsidRDefault="00C57074" w:rsidP="00C57074">
      <w:pPr>
        <w:pStyle w:val="UPhxBodyText2"/>
        <w:spacing w:before="0" w:after="120"/>
        <w:ind w:left="1440"/>
        <w:rPr>
          <w:sz w:val="24"/>
          <w:szCs w:val="24"/>
        </w:rPr>
      </w:pPr>
      <w:r>
        <w:rPr>
          <w:sz w:val="24"/>
          <w:szCs w:val="24"/>
        </w:rPr>
        <w:t xml:space="preserve">NPV = 0 </w:t>
      </w:r>
      <w:proofErr w:type="gramStart"/>
      <w:r>
        <w:rPr>
          <w:sz w:val="24"/>
          <w:szCs w:val="24"/>
        </w:rPr>
        <w:t xml:space="preserve">= </w:t>
      </w:r>
      <w:proofErr w:type="gramEnd"/>
      <w:r w:rsidRPr="00BF7212">
        <w:rPr>
          <w:position w:val="-30"/>
          <w:sz w:val="24"/>
          <w:szCs w:val="24"/>
        </w:rPr>
        <w:object w:dxaOrig="1359" w:dyaOrig="700">
          <v:shape id="_x0000_i1031" type="#_x0000_t75" style="width:67.8pt;height:35.15pt" o:ole="">
            <v:imagedata r:id="rId16" o:title=""/>
          </v:shape>
          <o:OLEObject Type="Embed" ProgID="Equation.3" ShapeID="_x0000_i1031" DrawAspect="Content" ObjectID="_1361904349" r:id="rId17"/>
        </w:object>
      </w:r>
      <w:r>
        <w:rPr>
          <w:sz w:val="24"/>
          <w:szCs w:val="24"/>
        </w:rPr>
        <w:t>, where:</w:t>
      </w:r>
    </w:p>
    <w:p w:rsidR="00C57074" w:rsidRDefault="00C57074" w:rsidP="00C57074">
      <w:pPr>
        <w:pStyle w:val="UPhxBodyText2"/>
        <w:numPr>
          <w:ilvl w:val="0"/>
          <w:numId w:val="4"/>
        </w:numPr>
        <w:spacing w:before="0" w:after="120"/>
        <w:rPr>
          <w:sz w:val="24"/>
          <w:szCs w:val="24"/>
        </w:rPr>
      </w:pPr>
      <w:proofErr w:type="spellStart"/>
      <w:r>
        <w:rPr>
          <w:sz w:val="24"/>
          <w:szCs w:val="24"/>
        </w:rPr>
        <w:t>CF</w:t>
      </w:r>
      <w:r w:rsidRPr="00BF7212">
        <w:rPr>
          <w:sz w:val="24"/>
          <w:szCs w:val="24"/>
          <w:vertAlign w:val="subscript"/>
        </w:rPr>
        <w:t>t</w:t>
      </w:r>
      <w:proofErr w:type="spellEnd"/>
      <w:r>
        <w:rPr>
          <w:sz w:val="24"/>
          <w:szCs w:val="24"/>
        </w:rPr>
        <w:t xml:space="preserve"> is the total cash flows for the project/new venture/subsidiary over a period, n</w:t>
      </w:r>
    </w:p>
    <w:p w:rsidR="00C57074" w:rsidRDefault="00C57074" w:rsidP="00C57074">
      <w:pPr>
        <w:pStyle w:val="UPhxBodyText2"/>
        <w:numPr>
          <w:ilvl w:val="0"/>
          <w:numId w:val="4"/>
        </w:numPr>
        <w:spacing w:before="0" w:after="120"/>
        <w:rPr>
          <w:sz w:val="24"/>
          <w:szCs w:val="24"/>
        </w:rPr>
      </w:pPr>
      <w:r w:rsidRPr="00AB1EAD">
        <w:rPr>
          <w:i/>
          <w:sz w:val="24"/>
          <w:szCs w:val="24"/>
        </w:rPr>
        <w:t>n</w:t>
      </w:r>
      <w:r>
        <w:rPr>
          <w:sz w:val="24"/>
          <w:szCs w:val="24"/>
        </w:rPr>
        <w:t xml:space="preserve"> is the period over which the project/ new subsidiary is said to be in the start-up period, and is agreed upon by senior management before start of project</w:t>
      </w:r>
    </w:p>
    <w:p w:rsidR="00C57074" w:rsidRDefault="00C57074" w:rsidP="00C57074">
      <w:pPr>
        <w:pStyle w:val="UPhxBodyText2"/>
        <w:numPr>
          <w:ilvl w:val="0"/>
          <w:numId w:val="4"/>
        </w:numPr>
        <w:spacing w:before="0" w:after="120"/>
        <w:rPr>
          <w:sz w:val="24"/>
          <w:szCs w:val="24"/>
        </w:rPr>
      </w:pPr>
      <w:r>
        <w:rPr>
          <w:sz w:val="24"/>
          <w:szCs w:val="24"/>
        </w:rPr>
        <w:lastRenderedPageBreak/>
        <w:t xml:space="preserve">We solve for the IRR value when the net present value of the entire project is 0 because, in essence, this is the “break-even” internal rate or “hurdle rate” that the firm requires in order for the project just to “break-even.” If a project/ new venture doesn’t pass this hurdle rate in time </w:t>
      </w:r>
      <w:r w:rsidRPr="00AB1EAD">
        <w:rPr>
          <w:i/>
          <w:sz w:val="24"/>
          <w:szCs w:val="24"/>
        </w:rPr>
        <w:t>n</w:t>
      </w:r>
      <w:r>
        <w:rPr>
          <w:sz w:val="24"/>
          <w:szCs w:val="24"/>
        </w:rPr>
        <w:t>, then the project/new venture doesn’t get a “go.”</w:t>
      </w:r>
    </w:p>
    <w:p w:rsidR="00C57074" w:rsidRDefault="00C57074" w:rsidP="00C57074">
      <w:pPr>
        <w:pStyle w:val="UPhxBodyText2"/>
        <w:numPr>
          <w:ilvl w:val="1"/>
          <w:numId w:val="3"/>
        </w:numPr>
        <w:spacing w:before="0" w:after="120"/>
        <w:rPr>
          <w:sz w:val="24"/>
          <w:szCs w:val="24"/>
        </w:rPr>
      </w:pPr>
      <w:r>
        <w:rPr>
          <w:sz w:val="24"/>
          <w:szCs w:val="24"/>
        </w:rPr>
        <w:t>Payback Period, PB:</w:t>
      </w:r>
    </w:p>
    <w:p w:rsidR="00C57074" w:rsidRDefault="00C57074" w:rsidP="00C57074">
      <w:pPr>
        <w:pStyle w:val="UPhxBodyText2"/>
        <w:spacing w:before="0" w:after="120"/>
        <w:ind w:left="1440"/>
        <w:rPr>
          <w:sz w:val="24"/>
          <w:szCs w:val="24"/>
        </w:rPr>
      </w:pPr>
      <w:r>
        <w:rPr>
          <w:sz w:val="24"/>
          <w:szCs w:val="24"/>
        </w:rPr>
        <w:t xml:space="preserve">PB = Last Year/Month/Period with a Negative Cash Flow (NCF) + </w:t>
      </w:r>
      <w:r w:rsidRPr="00BA55F0">
        <w:rPr>
          <w:position w:val="-28"/>
          <w:sz w:val="24"/>
          <w:szCs w:val="24"/>
        </w:rPr>
        <w:object w:dxaOrig="4860" w:dyaOrig="660">
          <v:shape id="_x0000_i1032" type="#_x0000_t75" style="width:242.8pt;height:32.65pt" o:ole="">
            <v:imagedata r:id="rId18" o:title=""/>
          </v:shape>
          <o:OLEObject Type="Embed" ProgID="Equation.3" ShapeID="_x0000_i1032" DrawAspect="Content" ObjectID="_1361904350" r:id="rId19"/>
        </w:object>
      </w:r>
    </w:p>
    <w:p w:rsidR="00C57074" w:rsidRDefault="00C57074" w:rsidP="00C57074">
      <w:pPr>
        <w:pStyle w:val="UPhxBodyText2"/>
        <w:numPr>
          <w:ilvl w:val="1"/>
          <w:numId w:val="3"/>
        </w:numPr>
        <w:spacing w:before="0" w:after="120"/>
        <w:rPr>
          <w:sz w:val="24"/>
          <w:szCs w:val="24"/>
        </w:rPr>
      </w:pPr>
      <w:r>
        <w:rPr>
          <w:sz w:val="24"/>
          <w:szCs w:val="24"/>
        </w:rPr>
        <w:t>Estimating Cash Flows: Comes in two parts, the actual equation, and an estimate of what is called net operating working capital.</w:t>
      </w:r>
    </w:p>
    <w:p w:rsidR="00C57074" w:rsidRDefault="00C57074" w:rsidP="00C57074">
      <w:pPr>
        <w:pStyle w:val="UPhxBodyText2"/>
        <w:numPr>
          <w:ilvl w:val="2"/>
          <w:numId w:val="3"/>
        </w:numPr>
        <w:spacing w:before="0" w:after="120"/>
        <w:rPr>
          <w:sz w:val="24"/>
          <w:szCs w:val="24"/>
        </w:rPr>
      </w:pPr>
      <w:r>
        <w:rPr>
          <w:sz w:val="24"/>
          <w:szCs w:val="24"/>
        </w:rPr>
        <w:t>Required Change in Net Operating Working Capital (</w:t>
      </w:r>
      <w:proofErr w:type="spellStart"/>
      <w:r>
        <w:rPr>
          <w:sz w:val="24"/>
          <w:szCs w:val="24"/>
        </w:rPr>
        <w:t>NOWC</w:t>
      </w:r>
      <w:r w:rsidRPr="00765B63">
        <w:rPr>
          <w:sz w:val="24"/>
          <w:szCs w:val="24"/>
          <w:vertAlign w:val="subscript"/>
        </w:rPr>
        <w:t>rc</w:t>
      </w:r>
      <w:proofErr w:type="spellEnd"/>
      <w:r>
        <w:rPr>
          <w:sz w:val="24"/>
          <w:szCs w:val="24"/>
        </w:rPr>
        <w:t>):</w:t>
      </w:r>
    </w:p>
    <w:p w:rsidR="00C57074" w:rsidRDefault="00C57074" w:rsidP="00C57074">
      <w:pPr>
        <w:pStyle w:val="UPhxBodyText2"/>
        <w:spacing w:before="0" w:after="120"/>
        <w:ind w:left="2400"/>
        <w:rPr>
          <w:sz w:val="24"/>
          <w:szCs w:val="24"/>
        </w:rPr>
      </w:pPr>
      <w:proofErr w:type="spellStart"/>
      <w:r>
        <w:rPr>
          <w:sz w:val="24"/>
          <w:szCs w:val="24"/>
        </w:rPr>
        <w:t>NOWC</w:t>
      </w:r>
      <w:r w:rsidRPr="00765B63">
        <w:rPr>
          <w:sz w:val="24"/>
          <w:szCs w:val="24"/>
          <w:vertAlign w:val="subscript"/>
        </w:rPr>
        <w:t>rc</w:t>
      </w:r>
      <w:proofErr w:type="spellEnd"/>
      <w:r>
        <w:rPr>
          <w:sz w:val="24"/>
          <w:szCs w:val="24"/>
        </w:rPr>
        <w:t xml:space="preserve"> = Increases in Inventory + Increases in A/R – Increases in A/P and Current Liabilities</w:t>
      </w:r>
    </w:p>
    <w:p w:rsidR="00C57074" w:rsidRDefault="00C57074" w:rsidP="00C57074">
      <w:pPr>
        <w:pStyle w:val="UPhxBodyText2"/>
        <w:numPr>
          <w:ilvl w:val="2"/>
          <w:numId w:val="3"/>
        </w:numPr>
        <w:spacing w:before="0" w:after="120"/>
        <w:rPr>
          <w:sz w:val="24"/>
          <w:szCs w:val="24"/>
        </w:rPr>
      </w:pPr>
      <w:r>
        <w:rPr>
          <w:sz w:val="24"/>
          <w:szCs w:val="24"/>
        </w:rPr>
        <w:t>Free Cash Flow (FCF):</w:t>
      </w:r>
    </w:p>
    <w:p w:rsidR="00C57074" w:rsidRDefault="00C57074" w:rsidP="00C57074">
      <w:pPr>
        <w:pStyle w:val="UPhxBodyText2"/>
        <w:spacing w:before="0" w:after="120"/>
        <w:ind w:left="2400"/>
        <w:rPr>
          <w:sz w:val="24"/>
          <w:szCs w:val="24"/>
        </w:rPr>
      </w:pPr>
      <w:r>
        <w:rPr>
          <w:sz w:val="24"/>
          <w:szCs w:val="24"/>
        </w:rPr>
        <w:t xml:space="preserve">FCF = Net Operating Profits (after taxes) – Net Fixed Assets (expenditures) - </w:t>
      </w:r>
      <w:proofErr w:type="spellStart"/>
      <w:r>
        <w:rPr>
          <w:sz w:val="24"/>
          <w:szCs w:val="24"/>
        </w:rPr>
        <w:t>NOWC</w:t>
      </w:r>
      <w:r w:rsidRPr="00765B63">
        <w:rPr>
          <w:sz w:val="24"/>
          <w:szCs w:val="24"/>
          <w:vertAlign w:val="subscript"/>
        </w:rPr>
        <w:t>rc</w:t>
      </w:r>
      <w:proofErr w:type="spellEnd"/>
    </w:p>
    <w:p w:rsidR="00C57074" w:rsidRDefault="00C57074" w:rsidP="00C57074">
      <w:pPr>
        <w:pStyle w:val="UPhxBodyText2"/>
        <w:numPr>
          <w:ilvl w:val="2"/>
          <w:numId w:val="3"/>
        </w:numPr>
        <w:spacing w:before="0" w:after="120"/>
        <w:rPr>
          <w:sz w:val="24"/>
          <w:szCs w:val="24"/>
        </w:rPr>
      </w:pPr>
      <w:r>
        <w:rPr>
          <w:sz w:val="24"/>
          <w:szCs w:val="24"/>
        </w:rPr>
        <w:t>Salvage Value (</w:t>
      </w:r>
      <w:proofErr w:type="spellStart"/>
      <w:r>
        <w:rPr>
          <w:sz w:val="24"/>
          <w:szCs w:val="24"/>
        </w:rPr>
        <w:t>S</w:t>
      </w:r>
      <w:r w:rsidRPr="007B3E85">
        <w:rPr>
          <w:sz w:val="24"/>
          <w:szCs w:val="24"/>
          <w:vertAlign w:val="subscript"/>
        </w:rPr>
        <w:t>n</w:t>
      </w:r>
      <w:proofErr w:type="spellEnd"/>
      <w:r>
        <w:rPr>
          <w:sz w:val="24"/>
          <w:szCs w:val="24"/>
        </w:rPr>
        <w:t xml:space="preserve">) for a project, or its “going concern” value beyond project time, </w:t>
      </w:r>
      <w:r w:rsidRPr="007B3E85">
        <w:rPr>
          <w:i/>
          <w:sz w:val="24"/>
          <w:szCs w:val="24"/>
        </w:rPr>
        <w:t>n</w:t>
      </w:r>
      <w:r>
        <w:rPr>
          <w:sz w:val="24"/>
          <w:szCs w:val="24"/>
        </w:rPr>
        <w:t>:</w:t>
      </w:r>
    </w:p>
    <w:p w:rsidR="00C57074" w:rsidRDefault="00C57074" w:rsidP="00C57074">
      <w:pPr>
        <w:pStyle w:val="UPhxBodyText2"/>
        <w:spacing w:before="0" w:after="120"/>
        <w:ind w:left="2400"/>
        <w:rPr>
          <w:sz w:val="24"/>
          <w:szCs w:val="24"/>
        </w:rPr>
      </w:pPr>
      <w:proofErr w:type="spellStart"/>
      <w:r>
        <w:rPr>
          <w:sz w:val="24"/>
          <w:szCs w:val="24"/>
        </w:rPr>
        <w:t>S</w:t>
      </w:r>
      <w:r w:rsidRPr="007B3E85">
        <w:rPr>
          <w:sz w:val="24"/>
          <w:szCs w:val="24"/>
          <w:vertAlign w:val="subscript"/>
        </w:rPr>
        <w:t>n</w:t>
      </w:r>
      <w:proofErr w:type="spellEnd"/>
      <w:r>
        <w:rPr>
          <w:sz w:val="24"/>
          <w:szCs w:val="24"/>
        </w:rPr>
        <w:t xml:space="preserve"> = [</w:t>
      </w:r>
      <w:proofErr w:type="spellStart"/>
      <w:proofErr w:type="gramStart"/>
      <w:r>
        <w:rPr>
          <w:sz w:val="24"/>
          <w:szCs w:val="24"/>
        </w:rPr>
        <w:t>NOCF</w:t>
      </w:r>
      <w:r w:rsidRPr="007B3E85">
        <w:rPr>
          <w:sz w:val="24"/>
          <w:szCs w:val="24"/>
          <w:vertAlign w:val="subscript"/>
        </w:rPr>
        <w:t>n</w:t>
      </w:r>
      <w:proofErr w:type="spellEnd"/>
      <w:r>
        <w:rPr>
          <w:sz w:val="24"/>
          <w:szCs w:val="24"/>
        </w:rPr>
        <w:t>(</w:t>
      </w:r>
      <w:proofErr w:type="gramEnd"/>
      <w:r>
        <w:rPr>
          <w:sz w:val="24"/>
          <w:szCs w:val="24"/>
        </w:rPr>
        <w:t>1+g)] / (WACC-g), where:</w:t>
      </w:r>
    </w:p>
    <w:p w:rsidR="00C57074" w:rsidRDefault="00C57074" w:rsidP="00C57074">
      <w:pPr>
        <w:pStyle w:val="UPhxBodyText2"/>
        <w:spacing w:before="0" w:after="120"/>
        <w:ind w:left="2400"/>
        <w:rPr>
          <w:sz w:val="24"/>
          <w:szCs w:val="24"/>
        </w:rPr>
      </w:pPr>
      <w:proofErr w:type="spellStart"/>
      <w:r>
        <w:rPr>
          <w:sz w:val="24"/>
          <w:szCs w:val="24"/>
        </w:rPr>
        <w:t>NOCF</w:t>
      </w:r>
      <w:r w:rsidRPr="007B3E85">
        <w:rPr>
          <w:sz w:val="24"/>
          <w:szCs w:val="24"/>
          <w:vertAlign w:val="subscript"/>
        </w:rPr>
        <w:t>n</w:t>
      </w:r>
      <w:proofErr w:type="spellEnd"/>
      <w:r>
        <w:rPr>
          <w:sz w:val="24"/>
          <w:szCs w:val="24"/>
          <w:vertAlign w:val="subscript"/>
        </w:rPr>
        <w:t xml:space="preserve"> </w:t>
      </w:r>
      <w:r>
        <w:rPr>
          <w:sz w:val="24"/>
          <w:szCs w:val="24"/>
        </w:rPr>
        <w:t xml:space="preserve">= Net Operating Cash Flow in time </w:t>
      </w:r>
      <w:r w:rsidRPr="007B3E85">
        <w:rPr>
          <w:i/>
          <w:sz w:val="24"/>
          <w:szCs w:val="24"/>
        </w:rPr>
        <w:t>n</w:t>
      </w:r>
      <w:r>
        <w:rPr>
          <w:sz w:val="24"/>
          <w:szCs w:val="24"/>
        </w:rPr>
        <w:t>,</w:t>
      </w:r>
    </w:p>
    <w:p w:rsidR="00C57074" w:rsidRDefault="00C57074" w:rsidP="00C57074">
      <w:pPr>
        <w:pStyle w:val="UPhxBodyText2"/>
        <w:spacing w:before="0" w:after="120"/>
        <w:ind w:left="2400"/>
        <w:rPr>
          <w:sz w:val="24"/>
          <w:szCs w:val="24"/>
        </w:rPr>
      </w:pPr>
      <w:r>
        <w:rPr>
          <w:sz w:val="24"/>
          <w:szCs w:val="24"/>
        </w:rPr>
        <w:t>WACC = Weighted Average of the Cost of Capital</w:t>
      </w:r>
    </w:p>
    <w:p w:rsidR="00C57074" w:rsidRDefault="00C57074" w:rsidP="00C57074">
      <w:pPr>
        <w:pStyle w:val="UPhxBodyText2"/>
        <w:spacing w:before="0" w:after="120"/>
        <w:ind w:left="2400"/>
        <w:rPr>
          <w:sz w:val="24"/>
          <w:szCs w:val="24"/>
        </w:rPr>
      </w:pPr>
      <w:r>
        <w:rPr>
          <w:sz w:val="24"/>
          <w:szCs w:val="24"/>
        </w:rPr>
        <w:t>g = average growth rate in the NOCF over the length of the project</w:t>
      </w:r>
    </w:p>
    <w:p w:rsidR="00C57074" w:rsidRDefault="00C57074" w:rsidP="00C57074">
      <w:pPr>
        <w:pStyle w:val="UPhxBodyText2"/>
        <w:spacing w:before="0" w:after="120"/>
        <w:ind w:left="1920"/>
        <w:rPr>
          <w:sz w:val="24"/>
          <w:szCs w:val="24"/>
        </w:rPr>
      </w:pPr>
      <w:r>
        <w:rPr>
          <w:sz w:val="24"/>
          <w:szCs w:val="24"/>
        </w:rPr>
        <w:t xml:space="preserve">The Salvage Value of a project comes in two types: as a liquidating value concept, and as a “going concern concept.” In the first place, senior management has decided that the project is at an end, and should be “liquidated.” This is the final cash flow, and should be </w:t>
      </w:r>
      <w:r w:rsidRPr="007B3E85">
        <w:rPr>
          <w:sz w:val="24"/>
          <w:szCs w:val="24"/>
          <w:u w:val="single"/>
        </w:rPr>
        <w:t>subtracted</w:t>
      </w:r>
      <w:r>
        <w:rPr>
          <w:sz w:val="24"/>
          <w:szCs w:val="24"/>
        </w:rPr>
        <w:t xml:space="preserve"> from the capital budget, as the project does not extend outward past time </w:t>
      </w:r>
      <w:r w:rsidRPr="007B3E85">
        <w:rPr>
          <w:i/>
          <w:sz w:val="24"/>
          <w:szCs w:val="24"/>
        </w:rPr>
        <w:t>n</w:t>
      </w:r>
      <w:r>
        <w:rPr>
          <w:sz w:val="24"/>
          <w:szCs w:val="24"/>
        </w:rPr>
        <w:t>.</w:t>
      </w:r>
    </w:p>
    <w:p w:rsidR="00C57074" w:rsidRDefault="00C57074" w:rsidP="00C57074">
      <w:pPr>
        <w:pStyle w:val="UPhxBodyText2"/>
        <w:spacing w:before="0" w:after="120"/>
        <w:ind w:left="1920"/>
        <w:rPr>
          <w:sz w:val="24"/>
          <w:szCs w:val="24"/>
        </w:rPr>
      </w:pPr>
      <w:r>
        <w:rPr>
          <w:sz w:val="24"/>
          <w:szCs w:val="24"/>
        </w:rPr>
        <w:t xml:space="preserve">In the second place, the project/subsidiary/new venture is considered to be a “permanent” part of the parent company, and its cash flows extend past time </w:t>
      </w:r>
      <w:r w:rsidRPr="007B3E85">
        <w:rPr>
          <w:i/>
          <w:sz w:val="24"/>
          <w:szCs w:val="24"/>
        </w:rPr>
        <w:t>n</w:t>
      </w:r>
      <w:r>
        <w:rPr>
          <w:sz w:val="24"/>
          <w:szCs w:val="24"/>
        </w:rPr>
        <w:t xml:space="preserve">. Therefore, such an endeavor adds to the overall cash flow of the firm, and should be </w:t>
      </w:r>
      <w:r w:rsidRPr="007B3E85">
        <w:rPr>
          <w:sz w:val="24"/>
          <w:szCs w:val="24"/>
          <w:u w:val="single"/>
        </w:rPr>
        <w:t>added</w:t>
      </w:r>
      <w:r>
        <w:rPr>
          <w:sz w:val="24"/>
          <w:szCs w:val="24"/>
        </w:rPr>
        <w:t xml:space="preserve"> to the capital budget figures.</w:t>
      </w:r>
    </w:p>
    <w:p w:rsidR="00864EB3" w:rsidRDefault="00864EB3"/>
    <w:sectPr w:rsidR="00864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62F35"/>
    <w:multiLevelType w:val="hybridMultilevel"/>
    <w:tmpl w:val="305A6A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9D61CF"/>
    <w:multiLevelType w:val="hybridMultilevel"/>
    <w:tmpl w:val="CD34CAEA"/>
    <w:lvl w:ilvl="0" w:tplc="F936154C">
      <w:start w:val="1"/>
      <w:numFmt w:val="bullet"/>
      <w:pStyle w:val="BulletsDouble"/>
      <w:lvlText w:val=""/>
      <w:lvlJc w:val="left"/>
      <w:pPr>
        <w:tabs>
          <w:tab w:val="num" w:pos="900"/>
        </w:tabs>
        <w:ind w:left="9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D2C48F0"/>
    <w:multiLevelType w:val="hybridMultilevel"/>
    <w:tmpl w:val="E4BEF7D6"/>
    <w:lvl w:ilvl="0" w:tplc="04090011">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74"/>
    <w:rsid w:val="00615A41"/>
    <w:rsid w:val="00864EB3"/>
    <w:rsid w:val="00931797"/>
    <w:rsid w:val="009576C0"/>
    <w:rsid w:val="009E16A4"/>
    <w:rsid w:val="00A72A42"/>
    <w:rsid w:val="00C5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74"/>
    <w:rPr>
      <w:rFonts w:eastAsia="Times New Roman"/>
    </w:rPr>
  </w:style>
  <w:style w:type="paragraph" w:styleId="Heading1">
    <w:name w:val="heading 1"/>
    <w:basedOn w:val="Normal"/>
    <w:next w:val="Normal"/>
    <w:link w:val="Heading1Char"/>
    <w:qFormat/>
    <w:rsid w:val="009E16A4"/>
    <w:pPr>
      <w:keepNext/>
      <w:outlineLvl w:val="0"/>
    </w:pPr>
    <w:rPr>
      <w:i/>
      <w:iCs/>
    </w:rPr>
  </w:style>
  <w:style w:type="paragraph" w:styleId="Heading2">
    <w:name w:val="heading 2"/>
    <w:basedOn w:val="Normal"/>
    <w:link w:val="Heading2Char"/>
    <w:qFormat/>
    <w:rsid w:val="009E16A4"/>
    <w:pPr>
      <w:spacing w:before="100" w:beforeAutospacing="1" w:after="100" w:afterAutospacing="1"/>
      <w:outlineLvl w:val="1"/>
    </w:pPr>
    <w:rPr>
      <w:rFonts w:ascii="Arial" w:eastAsia="Arial Unicode MS" w:hAnsi="Arial" w:cs="Arial"/>
      <w:color w:val="000066"/>
      <w:sz w:val="36"/>
      <w:szCs w:val="36"/>
    </w:rPr>
  </w:style>
  <w:style w:type="paragraph" w:styleId="Heading5">
    <w:name w:val="heading 5"/>
    <w:basedOn w:val="Normal"/>
    <w:next w:val="Normal"/>
    <w:link w:val="Heading5Char"/>
    <w:qFormat/>
    <w:rsid w:val="009E16A4"/>
    <w:pPr>
      <w:keepNext/>
      <w:jc w:val="center"/>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pgraph">
    <w:name w:val="2ndpgraph"/>
    <w:basedOn w:val="Normal"/>
    <w:rsid w:val="00A72A42"/>
    <w:pPr>
      <w:spacing w:before="60" w:after="60"/>
      <w:ind w:firstLine="720"/>
    </w:pPr>
  </w:style>
  <w:style w:type="paragraph" w:customStyle="1" w:styleId="BulletsDouble">
    <w:name w:val="BulletsDouble"/>
    <w:basedOn w:val="Normal"/>
    <w:rsid w:val="00A72A42"/>
    <w:pPr>
      <w:numPr>
        <w:numId w:val="2"/>
      </w:numPr>
      <w:spacing w:before="240" w:after="360"/>
    </w:pPr>
  </w:style>
  <w:style w:type="paragraph" w:customStyle="1" w:styleId="TitlePage">
    <w:name w:val="TitlePage"/>
    <w:basedOn w:val="Normal"/>
    <w:rsid w:val="00A72A42"/>
  </w:style>
  <w:style w:type="paragraph" w:customStyle="1" w:styleId="body-paragraph">
    <w:name w:val="body-paragraph"/>
    <w:basedOn w:val="Normal"/>
    <w:rsid w:val="00A72A42"/>
    <w:pPr>
      <w:spacing w:after="240"/>
    </w:pPr>
    <w:rPr>
      <w:rFonts w:ascii="Arial Unicode MS" w:eastAsia="Arial Unicode MS" w:hAnsi="Arial Unicode MS" w:cs="Arial Unicode MS"/>
      <w:sz w:val="19"/>
      <w:szCs w:val="19"/>
    </w:rPr>
  </w:style>
  <w:style w:type="paragraph" w:customStyle="1" w:styleId="art-subhead">
    <w:name w:val="art-subhead"/>
    <w:basedOn w:val="Normal"/>
    <w:rsid w:val="00A72A42"/>
    <w:pPr>
      <w:spacing w:before="100" w:beforeAutospacing="1" w:after="100" w:afterAutospacing="1"/>
    </w:pPr>
    <w:rPr>
      <w:rFonts w:ascii="Verdana" w:eastAsia="Arial Unicode MS" w:hAnsi="Verdana" w:cs="Arial Unicode MS"/>
      <w:b/>
      <w:bCs/>
      <w:color w:val="000000"/>
    </w:rPr>
  </w:style>
  <w:style w:type="paragraph" w:customStyle="1" w:styleId="art-text">
    <w:name w:val="art-text"/>
    <w:basedOn w:val="Normal"/>
    <w:rsid w:val="00A72A42"/>
    <w:pPr>
      <w:spacing w:before="100" w:beforeAutospacing="1" w:after="100" w:afterAutospacing="1"/>
    </w:pPr>
    <w:rPr>
      <w:rFonts w:ascii="Verdana" w:eastAsia="Arial Unicode MS" w:hAnsi="Verdana" w:cs="Arial Unicode MS"/>
      <w:color w:val="000000"/>
    </w:rPr>
  </w:style>
  <w:style w:type="character" w:customStyle="1" w:styleId="art-tbl-text1">
    <w:name w:val="art-tbl-text1"/>
    <w:rsid w:val="00A72A42"/>
    <w:rPr>
      <w:rFonts w:ascii="Verdana" w:hAnsi="Verdana" w:hint="default"/>
      <w:color w:val="000000"/>
      <w:sz w:val="16"/>
      <w:szCs w:val="16"/>
    </w:rPr>
  </w:style>
  <w:style w:type="character" w:customStyle="1" w:styleId="HTMLPreformattedChar">
    <w:name w:val="HTML Preformatted Char"/>
    <w:rsid w:val="00A72A42"/>
    <w:rPr>
      <w:rFonts w:ascii="Courier New" w:hAnsi="Courier New" w:cs="Courier New"/>
      <w:color w:val="000000"/>
    </w:rPr>
  </w:style>
  <w:style w:type="character" w:customStyle="1" w:styleId="bodystyle-smaller1">
    <w:name w:val="bodystyle-smaller1"/>
    <w:rsid w:val="00A72A42"/>
    <w:rPr>
      <w:rFonts w:ascii="Arial" w:hAnsi="Arial" w:cs="Arial" w:hint="default"/>
      <w:sz w:val="17"/>
      <w:szCs w:val="17"/>
    </w:rPr>
  </w:style>
  <w:style w:type="paragraph" w:customStyle="1" w:styleId="APAAbstract">
    <w:name w:val="APA Abstract"/>
    <w:basedOn w:val="Normal"/>
    <w:rsid w:val="00A72A42"/>
    <w:pPr>
      <w:overflowPunct w:val="0"/>
      <w:autoSpaceDE w:val="0"/>
      <w:autoSpaceDN w:val="0"/>
      <w:adjustRightInd w:val="0"/>
      <w:textAlignment w:val="baseline"/>
    </w:pPr>
  </w:style>
  <w:style w:type="paragraph" w:customStyle="1" w:styleId="uphxnumberedlist1">
    <w:name w:val="uphxnumberedlist1"/>
    <w:basedOn w:val="Normal"/>
    <w:rsid w:val="00A72A42"/>
    <w:pPr>
      <w:spacing w:before="100" w:beforeAutospacing="1" w:after="100" w:afterAutospacing="1"/>
    </w:pPr>
    <w:rPr>
      <w:rFonts w:ascii="Arial Unicode MS" w:eastAsia="Arial Unicode MS" w:hAnsi="Arial Unicode MS" w:cs="Arial Unicode MS"/>
    </w:rPr>
  </w:style>
  <w:style w:type="paragraph" w:customStyle="1" w:styleId="uphxnumberedlist3">
    <w:name w:val="uphxnumberedlist3"/>
    <w:basedOn w:val="Normal"/>
    <w:rsid w:val="00A72A42"/>
    <w:pPr>
      <w:spacing w:before="100" w:beforeAutospacing="1" w:after="100" w:afterAutospacing="1"/>
    </w:pPr>
    <w:rPr>
      <w:rFonts w:ascii="Arial Unicode MS" w:eastAsia="Arial Unicode MS" w:hAnsi="Arial Unicode MS" w:cs="Arial Unicode MS"/>
    </w:rPr>
  </w:style>
  <w:style w:type="paragraph" w:customStyle="1" w:styleId="NormalindentedParagraph">
    <w:name w:val="Normal (indented) Paragraph"/>
    <w:basedOn w:val="Normal"/>
    <w:rsid w:val="00A72A42"/>
    <w:pPr>
      <w:spacing w:line="560" w:lineRule="exact"/>
      <w:ind w:firstLine="720"/>
    </w:pPr>
  </w:style>
  <w:style w:type="paragraph" w:customStyle="1" w:styleId="indent">
    <w:name w:val="indent"/>
    <w:basedOn w:val="Normal"/>
    <w:rsid w:val="00A72A42"/>
    <w:pPr>
      <w:spacing w:before="100" w:beforeAutospacing="1" w:after="100" w:afterAutospacing="1"/>
    </w:pPr>
    <w:rPr>
      <w:rFonts w:ascii="Arial Unicode MS" w:eastAsia="Arial Unicode MS" w:hAnsi="Arial Unicode MS" w:cs="Arial Unicode MS"/>
    </w:rPr>
  </w:style>
  <w:style w:type="paragraph" w:customStyle="1" w:styleId="APA">
    <w:name w:val="APA"/>
    <w:basedOn w:val="BodyText"/>
    <w:rsid w:val="00A72A42"/>
    <w:pPr>
      <w:overflowPunct w:val="0"/>
      <w:autoSpaceDE w:val="0"/>
      <w:autoSpaceDN w:val="0"/>
      <w:adjustRightInd w:val="0"/>
      <w:ind w:right="0" w:firstLine="720"/>
      <w:textAlignment w:val="baseline"/>
    </w:pPr>
  </w:style>
  <w:style w:type="paragraph" w:styleId="BodyText">
    <w:name w:val="Body Text"/>
    <w:basedOn w:val="Normal"/>
    <w:link w:val="BodyTextChar"/>
    <w:semiHidden/>
    <w:rsid w:val="00A72A42"/>
    <w:pPr>
      <w:ind w:right="720"/>
    </w:pPr>
  </w:style>
  <w:style w:type="character" w:customStyle="1" w:styleId="BodyTextChar">
    <w:name w:val="Body Text Char"/>
    <w:basedOn w:val="DefaultParagraphFont"/>
    <w:link w:val="BodyText"/>
    <w:semiHidden/>
    <w:rsid w:val="00A72A42"/>
    <w:rPr>
      <w:rFonts w:ascii="Times New Roman" w:hAnsi="Times New Roman"/>
      <w:sz w:val="24"/>
      <w:szCs w:val="24"/>
    </w:rPr>
  </w:style>
  <w:style w:type="character" w:customStyle="1" w:styleId="Heading1Char">
    <w:name w:val="Heading 1 Char"/>
    <w:basedOn w:val="DefaultParagraphFont"/>
    <w:link w:val="Heading1"/>
    <w:rsid w:val="009E16A4"/>
    <w:rPr>
      <w:rFonts w:eastAsia="Times New Roman"/>
      <w:i/>
      <w:iCs/>
    </w:rPr>
  </w:style>
  <w:style w:type="character" w:customStyle="1" w:styleId="Heading2Char">
    <w:name w:val="Heading 2 Char"/>
    <w:basedOn w:val="DefaultParagraphFont"/>
    <w:link w:val="Heading2"/>
    <w:rsid w:val="009E16A4"/>
    <w:rPr>
      <w:rFonts w:ascii="Arial" w:eastAsia="Arial Unicode MS" w:hAnsi="Arial" w:cs="Arial"/>
      <w:color w:val="000066"/>
      <w:sz w:val="36"/>
      <w:szCs w:val="36"/>
    </w:rPr>
  </w:style>
  <w:style w:type="character" w:customStyle="1" w:styleId="Heading5Char">
    <w:name w:val="Heading 5 Char"/>
    <w:basedOn w:val="DefaultParagraphFont"/>
    <w:link w:val="Heading5"/>
    <w:rsid w:val="009E16A4"/>
    <w:rPr>
      <w:rFonts w:ascii="Arial" w:eastAsia="Times New Roman" w:hAnsi="Arial" w:cs="Arial"/>
      <w:b/>
      <w:bCs/>
      <w:sz w:val="16"/>
      <w:szCs w:val="16"/>
    </w:rPr>
  </w:style>
  <w:style w:type="paragraph" w:styleId="Header">
    <w:name w:val="header"/>
    <w:basedOn w:val="Normal"/>
    <w:link w:val="HeaderChar"/>
    <w:semiHidden/>
    <w:rsid w:val="00A72A42"/>
    <w:pPr>
      <w:tabs>
        <w:tab w:val="center" w:pos="4320"/>
        <w:tab w:val="right" w:pos="8640"/>
      </w:tabs>
    </w:pPr>
  </w:style>
  <w:style w:type="character" w:customStyle="1" w:styleId="HeaderChar">
    <w:name w:val="Header Char"/>
    <w:basedOn w:val="DefaultParagraphFont"/>
    <w:link w:val="Header"/>
    <w:semiHidden/>
    <w:rsid w:val="00A72A42"/>
    <w:rPr>
      <w:rFonts w:ascii="Times New Roman" w:eastAsia="Times New Roman" w:hAnsi="Times New Roman" w:cs="Times New Roman"/>
      <w:sz w:val="24"/>
      <w:szCs w:val="24"/>
    </w:rPr>
  </w:style>
  <w:style w:type="paragraph" w:styleId="Footer">
    <w:name w:val="footer"/>
    <w:basedOn w:val="Normal"/>
    <w:link w:val="FooterChar"/>
    <w:semiHidden/>
    <w:rsid w:val="00A72A42"/>
    <w:pPr>
      <w:tabs>
        <w:tab w:val="center" w:pos="4320"/>
        <w:tab w:val="right" w:pos="8640"/>
      </w:tabs>
    </w:pPr>
  </w:style>
  <w:style w:type="character" w:customStyle="1" w:styleId="FooterChar">
    <w:name w:val="Footer Char"/>
    <w:basedOn w:val="DefaultParagraphFont"/>
    <w:link w:val="Footer"/>
    <w:semiHidden/>
    <w:rsid w:val="00A72A42"/>
    <w:rPr>
      <w:rFonts w:ascii="Times New Roman" w:eastAsia="Times New Roman" w:hAnsi="Times New Roman" w:cs="Times New Roman"/>
      <w:sz w:val="24"/>
      <w:szCs w:val="24"/>
    </w:rPr>
  </w:style>
  <w:style w:type="character" w:styleId="PageNumber">
    <w:name w:val="page number"/>
    <w:basedOn w:val="DefaultParagraphFont"/>
    <w:semiHidden/>
    <w:rsid w:val="00A72A42"/>
  </w:style>
  <w:style w:type="paragraph" w:styleId="BodyTextIndent">
    <w:name w:val="Body Text Indent"/>
    <w:basedOn w:val="Normal"/>
    <w:link w:val="BodyTextIndentChar"/>
    <w:semiHidden/>
    <w:rsid w:val="00A72A42"/>
    <w:pPr>
      <w:ind w:firstLine="720"/>
    </w:pPr>
  </w:style>
  <w:style w:type="character" w:customStyle="1" w:styleId="BodyTextIndentChar">
    <w:name w:val="Body Text Indent Char"/>
    <w:basedOn w:val="DefaultParagraphFont"/>
    <w:link w:val="BodyTextIndent"/>
    <w:semiHidden/>
    <w:rsid w:val="00A72A42"/>
    <w:rPr>
      <w:rFonts w:ascii="Times New Roman" w:eastAsia="Times New Roman" w:hAnsi="Times New Roman" w:cs="Times New Roman"/>
      <w:sz w:val="24"/>
      <w:szCs w:val="24"/>
    </w:rPr>
  </w:style>
  <w:style w:type="paragraph" w:styleId="BodyText2">
    <w:name w:val="Body Text 2"/>
    <w:basedOn w:val="Normal"/>
    <w:link w:val="BodyText2Char"/>
    <w:semiHidden/>
    <w:rsid w:val="00A72A42"/>
    <w:pPr>
      <w:jc w:val="center"/>
    </w:pPr>
  </w:style>
  <w:style w:type="character" w:customStyle="1" w:styleId="BodyText2Char">
    <w:name w:val="Body Text 2 Char"/>
    <w:basedOn w:val="DefaultParagraphFont"/>
    <w:link w:val="BodyText2"/>
    <w:semiHidden/>
    <w:rsid w:val="00A72A4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A72A42"/>
    <w:pPr>
      <w:ind w:left="720"/>
    </w:pPr>
  </w:style>
  <w:style w:type="character" w:customStyle="1" w:styleId="BodyTextIndent2Char">
    <w:name w:val="Body Text Indent 2 Char"/>
    <w:basedOn w:val="DefaultParagraphFont"/>
    <w:link w:val="BodyTextIndent2"/>
    <w:semiHidden/>
    <w:rsid w:val="00A72A42"/>
    <w:rPr>
      <w:rFonts w:ascii="Times New Roman" w:eastAsia="Times New Roman" w:hAnsi="Times New Roman" w:cs="Times New Roman"/>
      <w:sz w:val="24"/>
      <w:szCs w:val="20"/>
    </w:rPr>
  </w:style>
  <w:style w:type="paragraph" w:styleId="BlockText">
    <w:name w:val="Block Text"/>
    <w:basedOn w:val="Normal"/>
    <w:semiHidden/>
    <w:rsid w:val="00A72A42"/>
    <w:pPr>
      <w:ind w:left="720" w:right="720"/>
    </w:pPr>
    <w:rPr>
      <w:szCs w:val="23"/>
      <w:lang w:val="en"/>
    </w:rPr>
  </w:style>
  <w:style w:type="character" w:styleId="Hyperlink">
    <w:name w:val="Hyperlink"/>
    <w:semiHidden/>
    <w:rsid w:val="00A72A42"/>
    <w:rPr>
      <w:color w:val="0000FF"/>
      <w:u w:val="single"/>
    </w:rPr>
  </w:style>
  <w:style w:type="character" w:styleId="FollowedHyperlink">
    <w:name w:val="FollowedHyperlink"/>
    <w:semiHidden/>
    <w:rsid w:val="00A72A42"/>
    <w:rPr>
      <w:color w:val="800080"/>
      <w:u w:val="single"/>
    </w:rPr>
  </w:style>
  <w:style w:type="character" w:styleId="Strong">
    <w:name w:val="Strong"/>
    <w:qFormat/>
    <w:rsid w:val="009E16A4"/>
    <w:rPr>
      <w:b/>
      <w:bCs/>
    </w:rPr>
  </w:style>
  <w:style w:type="character" w:styleId="Emphasis">
    <w:name w:val="Emphasis"/>
    <w:uiPriority w:val="20"/>
    <w:qFormat/>
    <w:rsid w:val="009E16A4"/>
    <w:rPr>
      <w:i/>
      <w:iCs/>
    </w:rPr>
  </w:style>
  <w:style w:type="paragraph" w:styleId="NormalWeb">
    <w:name w:val="Normal (Web)"/>
    <w:basedOn w:val="Normal"/>
    <w:semiHidden/>
    <w:rsid w:val="00A72A42"/>
    <w:pPr>
      <w:spacing w:after="225" w:line="360" w:lineRule="atLeast"/>
    </w:pPr>
    <w:rPr>
      <w:rFonts w:ascii="Verdana" w:eastAsia="Arial Unicode MS" w:hAnsi="Verdana" w:cs="Arial Unicode MS"/>
      <w:color w:val="000000"/>
    </w:rPr>
  </w:style>
  <w:style w:type="paragraph" w:styleId="HTMLPreformatted">
    <w:name w:val="HTML Preformatted"/>
    <w:basedOn w:val="Normal"/>
    <w:link w:val="HTMLPreformattedChar1"/>
    <w:semiHidden/>
    <w:rsid w:val="00A72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1">
    <w:name w:val="HTML Preformatted Char1"/>
    <w:basedOn w:val="DefaultParagraphFont"/>
    <w:link w:val="HTMLPreformatted"/>
    <w:semiHidden/>
    <w:rsid w:val="00A72A42"/>
    <w:rPr>
      <w:rFonts w:ascii="Courier New" w:eastAsia="Times New Roman" w:hAnsi="Courier New" w:cs="Courier New"/>
      <w:color w:val="000000"/>
      <w:sz w:val="20"/>
      <w:szCs w:val="20"/>
    </w:rPr>
  </w:style>
  <w:style w:type="paragraph" w:customStyle="1" w:styleId="UPhxBodyText2">
    <w:name w:val="UPhx Body Text 2"/>
    <w:basedOn w:val="Normal"/>
    <w:rsid w:val="00C57074"/>
    <w:pPr>
      <w:spacing w:before="60" w:after="60"/>
      <w:ind w:left="360"/>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74"/>
    <w:rPr>
      <w:rFonts w:eastAsia="Times New Roman"/>
    </w:rPr>
  </w:style>
  <w:style w:type="paragraph" w:styleId="Heading1">
    <w:name w:val="heading 1"/>
    <w:basedOn w:val="Normal"/>
    <w:next w:val="Normal"/>
    <w:link w:val="Heading1Char"/>
    <w:qFormat/>
    <w:rsid w:val="009E16A4"/>
    <w:pPr>
      <w:keepNext/>
      <w:outlineLvl w:val="0"/>
    </w:pPr>
    <w:rPr>
      <w:i/>
      <w:iCs/>
    </w:rPr>
  </w:style>
  <w:style w:type="paragraph" w:styleId="Heading2">
    <w:name w:val="heading 2"/>
    <w:basedOn w:val="Normal"/>
    <w:link w:val="Heading2Char"/>
    <w:qFormat/>
    <w:rsid w:val="009E16A4"/>
    <w:pPr>
      <w:spacing w:before="100" w:beforeAutospacing="1" w:after="100" w:afterAutospacing="1"/>
      <w:outlineLvl w:val="1"/>
    </w:pPr>
    <w:rPr>
      <w:rFonts w:ascii="Arial" w:eastAsia="Arial Unicode MS" w:hAnsi="Arial" w:cs="Arial"/>
      <w:color w:val="000066"/>
      <w:sz w:val="36"/>
      <w:szCs w:val="36"/>
    </w:rPr>
  </w:style>
  <w:style w:type="paragraph" w:styleId="Heading5">
    <w:name w:val="heading 5"/>
    <w:basedOn w:val="Normal"/>
    <w:next w:val="Normal"/>
    <w:link w:val="Heading5Char"/>
    <w:qFormat/>
    <w:rsid w:val="009E16A4"/>
    <w:pPr>
      <w:keepNext/>
      <w:jc w:val="center"/>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pgraph">
    <w:name w:val="2ndpgraph"/>
    <w:basedOn w:val="Normal"/>
    <w:rsid w:val="00A72A42"/>
    <w:pPr>
      <w:spacing w:before="60" w:after="60"/>
      <w:ind w:firstLine="720"/>
    </w:pPr>
  </w:style>
  <w:style w:type="paragraph" w:customStyle="1" w:styleId="BulletsDouble">
    <w:name w:val="BulletsDouble"/>
    <w:basedOn w:val="Normal"/>
    <w:rsid w:val="00A72A42"/>
    <w:pPr>
      <w:numPr>
        <w:numId w:val="2"/>
      </w:numPr>
      <w:spacing w:before="240" w:after="360"/>
    </w:pPr>
  </w:style>
  <w:style w:type="paragraph" w:customStyle="1" w:styleId="TitlePage">
    <w:name w:val="TitlePage"/>
    <w:basedOn w:val="Normal"/>
    <w:rsid w:val="00A72A42"/>
  </w:style>
  <w:style w:type="paragraph" w:customStyle="1" w:styleId="body-paragraph">
    <w:name w:val="body-paragraph"/>
    <w:basedOn w:val="Normal"/>
    <w:rsid w:val="00A72A42"/>
    <w:pPr>
      <w:spacing w:after="240"/>
    </w:pPr>
    <w:rPr>
      <w:rFonts w:ascii="Arial Unicode MS" w:eastAsia="Arial Unicode MS" w:hAnsi="Arial Unicode MS" w:cs="Arial Unicode MS"/>
      <w:sz w:val="19"/>
      <w:szCs w:val="19"/>
    </w:rPr>
  </w:style>
  <w:style w:type="paragraph" w:customStyle="1" w:styleId="art-subhead">
    <w:name w:val="art-subhead"/>
    <w:basedOn w:val="Normal"/>
    <w:rsid w:val="00A72A42"/>
    <w:pPr>
      <w:spacing w:before="100" w:beforeAutospacing="1" w:after="100" w:afterAutospacing="1"/>
    </w:pPr>
    <w:rPr>
      <w:rFonts w:ascii="Verdana" w:eastAsia="Arial Unicode MS" w:hAnsi="Verdana" w:cs="Arial Unicode MS"/>
      <w:b/>
      <w:bCs/>
      <w:color w:val="000000"/>
    </w:rPr>
  </w:style>
  <w:style w:type="paragraph" w:customStyle="1" w:styleId="art-text">
    <w:name w:val="art-text"/>
    <w:basedOn w:val="Normal"/>
    <w:rsid w:val="00A72A42"/>
    <w:pPr>
      <w:spacing w:before="100" w:beforeAutospacing="1" w:after="100" w:afterAutospacing="1"/>
    </w:pPr>
    <w:rPr>
      <w:rFonts w:ascii="Verdana" w:eastAsia="Arial Unicode MS" w:hAnsi="Verdana" w:cs="Arial Unicode MS"/>
      <w:color w:val="000000"/>
    </w:rPr>
  </w:style>
  <w:style w:type="character" w:customStyle="1" w:styleId="art-tbl-text1">
    <w:name w:val="art-tbl-text1"/>
    <w:rsid w:val="00A72A42"/>
    <w:rPr>
      <w:rFonts w:ascii="Verdana" w:hAnsi="Verdana" w:hint="default"/>
      <w:color w:val="000000"/>
      <w:sz w:val="16"/>
      <w:szCs w:val="16"/>
    </w:rPr>
  </w:style>
  <w:style w:type="character" w:customStyle="1" w:styleId="HTMLPreformattedChar">
    <w:name w:val="HTML Preformatted Char"/>
    <w:rsid w:val="00A72A42"/>
    <w:rPr>
      <w:rFonts w:ascii="Courier New" w:hAnsi="Courier New" w:cs="Courier New"/>
      <w:color w:val="000000"/>
    </w:rPr>
  </w:style>
  <w:style w:type="character" w:customStyle="1" w:styleId="bodystyle-smaller1">
    <w:name w:val="bodystyle-smaller1"/>
    <w:rsid w:val="00A72A42"/>
    <w:rPr>
      <w:rFonts w:ascii="Arial" w:hAnsi="Arial" w:cs="Arial" w:hint="default"/>
      <w:sz w:val="17"/>
      <w:szCs w:val="17"/>
    </w:rPr>
  </w:style>
  <w:style w:type="paragraph" w:customStyle="1" w:styleId="APAAbstract">
    <w:name w:val="APA Abstract"/>
    <w:basedOn w:val="Normal"/>
    <w:rsid w:val="00A72A42"/>
    <w:pPr>
      <w:overflowPunct w:val="0"/>
      <w:autoSpaceDE w:val="0"/>
      <w:autoSpaceDN w:val="0"/>
      <w:adjustRightInd w:val="0"/>
      <w:textAlignment w:val="baseline"/>
    </w:pPr>
  </w:style>
  <w:style w:type="paragraph" w:customStyle="1" w:styleId="uphxnumberedlist1">
    <w:name w:val="uphxnumberedlist1"/>
    <w:basedOn w:val="Normal"/>
    <w:rsid w:val="00A72A42"/>
    <w:pPr>
      <w:spacing w:before="100" w:beforeAutospacing="1" w:after="100" w:afterAutospacing="1"/>
    </w:pPr>
    <w:rPr>
      <w:rFonts w:ascii="Arial Unicode MS" w:eastAsia="Arial Unicode MS" w:hAnsi="Arial Unicode MS" w:cs="Arial Unicode MS"/>
    </w:rPr>
  </w:style>
  <w:style w:type="paragraph" w:customStyle="1" w:styleId="uphxnumberedlist3">
    <w:name w:val="uphxnumberedlist3"/>
    <w:basedOn w:val="Normal"/>
    <w:rsid w:val="00A72A42"/>
    <w:pPr>
      <w:spacing w:before="100" w:beforeAutospacing="1" w:after="100" w:afterAutospacing="1"/>
    </w:pPr>
    <w:rPr>
      <w:rFonts w:ascii="Arial Unicode MS" w:eastAsia="Arial Unicode MS" w:hAnsi="Arial Unicode MS" w:cs="Arial Unicode MS"/>
    </w:rPr>
  </w:style>
  <w:style w:type="paragraph" w:customStyle="1" w:styleId="NormalindentedParagraph">
    <w:name w:val="Normal (indented) Paragraph"/>
    <w:basedOn w:val="Normal"/>
    <w:rsid w:val="00A72A42"/>
    <w:pPr>
      <w:spacing w:line="560" w:lineRule="exact"/>
      <w:ind w:firstLine="720"/>
    </w:pPr>
  </w:style>
  <w:style w:type="paragraph" w:customStyle="1" w:styleId="indent">
    <w:name w:val="indent"/>
    <w:basedOn w:val="Normal"/>
    <w:rsid w:val="00A72A42"/>
    <w:pPr>
      <w:spacing w:before="100" w:beforeAutospacing="1" w:after="100" w:afterAutospacing="1"/>
    </w:pPr>
    <w:rPr>
      <w:rFonts w:ascii="Arial Unicode MS" w:eastAsia="Arial Unicode MS" w:hAnsi="Arial Unicode MS" w:cs="Arial Unicode MS"/>
    </w:rPr>
  </w:style>
  <w:style w:type="paragraph" w:customStyle="1" w:styleId="APA">
    <w:name w:val="APA"/>
    <w:basedOn w:val="BodyText"/>
    <w:rsid w:val="00A72A42"/>
    <w:pPr>
      <w:overflowPunct w:val="0"/>
      <w:autoSpaceDE w:val="0"/>
      <w:autoSpaceDN w:val="0"/>
      <w:adjustRightInd w:val="0"/>
      <w:ind w:right="0" w:firstLine="720"/>
      <w:textAlignment w:val="baseline"/>
    </w:pPr>
  </w:style>
  <w:style w:type="paragraph" w:styleId="BodyText">
    <w:name w:val="Body Text"/>
    <w:basedOn w:val="Normal"/>
    <w:link w:val="BodyTextChar"/>
    <w:semiHidden/>
    <w:rsid w:val="00A72A42"/>
    <w:pPr>
      <w:ind w:right="720"/>
    </w:pPr>
  </w:style>
  <w:style w:type="character" w:customStyle="1" w:styleId="BodyTextChar">
    <w:name w:val="Body Text Char"/>
    <w:basedOn w:val="DefaultParagraphFont"/>
    <w:link w:val="BodyText"/>
    <w:semiHidden/>
    <w:rsid w:val="00A72A42"/>
    <w:rPr>
      <w:rFonts w:ascii="Times New Roman" w:hAnsi="Times New Roman"/>
      <w:sz w:val="24"/>
      <w:szCs w:val="24"/>
    </w:rPr>
  </w:style>
  <w:style w:type="character" w:customStyle="1" w:styleId="Heading1Char">
    <w:name w:val="Heading 1 Char"/>
    <w:basedOn w:val="DefaultParagraphFont"/>
    <w:link w:val="Heading1"/>
    <w:rsid w:val="009E16A4"/>
    <w:rPr>
      <w:rFonts w:eastAsia="Times New Roman"/>
      <w:i/>
      <w:iCs/>
    </w:rPr>
  </w:style>
  <w:style w:type="character" w:customStyle="1" w:styleId="Heading2Char">
    <w:name w:val="Heading 2 Char"/>
    <w:basedOn w:val="DefaultParagraphFont"/>
    <w:link w:val="Heading2"/>
    <w:rsid w:val="009E16A4"/>
    <w:rPr>
      <w:rFonts w:ascii="Arial" w:eastAsia="Arial Unicode MS" w:hAnsi="Arial" w:cs="Arial"/>
      <w:color w:val="000066"/>
      <w:sz w:val="36"/>
      <w:szCs w:val="36"/>
    </w:rPr>
  </w:style>
  <w:style w:type="character" w:customStyle="1" w:styleId="Heading5Char">
    <w:name w:val="Heading 5 Char"/>
    <w:basedOn w:val="DefaultParagraphFont"/>
    <w:link w:val="Heading5"/>
    <w:rsid w:val="009E16A4"/>
    <w:rPr>
      <w:rFonts w:ascii="Arial" w:eastAsia="Times New Roman" w:hAnsi="Arial" w:cs="Arial"/>
      <w:b/>
      <w:bCs/>
      <w:sz w:val="16"/>
      <w:szCs w:val="16"/>
    </w:rPr>
  </w:style>
  <w:style w:type="paragraph" w:styleId="Header">
    <w:name w:val="header"/>
    <w:basedOn w:val="Normal"/>
    <w:link w:val="HeaderChar"/>
    <w:semiHidden/>
    <w:rsid w:val="00A72A42"/>
    <w:pPr>
      <w:tabs>
        <w:tab w:val="center" w:pos="4320"/>
        <w:tab w:val="right" w:pos="8640"/>
      </w:tabs>
    </w:pPr>
  </w:style>
  <w:style w:type="character" w:customStyle="1" w:styleId="HeaderChar">
    <w:name w:val="Header Char"/>
    <w:basedOn w:val="DefaultParagraphFont"/>
    <w:link w:val="Header"/>
    <w:semiHidden/>
    <w:rsid w:val="00A72A42"/>
    <w:rPr>
      <w:rFonts w:ascii="Times New Roman" w:eastAsia="Times New Roman" w:hAnsi="Times New Roman" w:cs="Times New Roman"/>
      <w:sz w:val="24"/>
      <w:szCs w:val="24"/>
    </w:rPr>
  </w:style>
  <w:style w:type="paragraph" w:styleId="Footer">
    <w:name w:val="footer"/>
    <w:basedOn w:val="Normal"/>
    <w:link w:val="FooterChar"/>
    <w:semiHidden/>
    <w:rsid w:val="00A72A42"/>
    <w:pPr>
      <w:tabs>
        <w:tab w:val="center" w:pos="4320"/>
        <w:tab w:val="right" w:pos="8640"/>
      </w:tabs>
    </w:pPr>
  </w:style>
  <w:style w:type="character" w:customStyle="1" w:styleId="FooterChar">
    <w:name w:val="Footer Char"/>
    <w:basedOn w:val="DefaultParagraphFont"/>
    <w:link w:val="Footer"/>
    <w:semiHidden/>
    <w:rsid w:val="00A72A42"/>
    <w:rPr>
      <w:rFonts w:ascii="Times New Roman" w:eastAsia="Times New Roman" w:hAnsi="Times New Roman" w:cs="Times New Roman"/>
      <w:sz w:val="24"/>
      <w:szCs w:val="24"/>
    </w:rPr>
  </w:style>
  <w:style w:type="character" w:styleId="PageNumber">
    <w:name w:val="page number"/>
    <w:basedOn w:val="DefaultParagraphFont"/>
    <w:semiHidden/>
    <w:rsid w:val="00A72A42"/>
  </w:style>
  <w:style w:type="paragraph" w:styleId="BodyTextIndent">
    <w:name w:val="Body Text Indent"/>
    <w:basedOn w:val="Normal"/>
    <w:link w:val="BodyTextIndentChar"/>
    <w:semiHidden/>
    <w:rsid w:val="00A72A42"/>
    <w:pPr>
      <w:ind w:firstLine="720"/>
    </w:pPr>
  </w:style>
  <w:style w:type="character" w:customStyle="1" w:styleId="BodyTextIndentChar">
    <w:name w:val="Body Text Indent Char"/>
    <w:basedOn w:val="DefaultParagraphFont"/>
    <w:link w:val="BodyTextIndent"/>
    <w:semiHidden/>
    <w:rsid w:val="00A72A42"/>
    <w:rPr>
      <w:rFonts w:ascii="Times New Roman" w:eastAsia="Times New Roman" w:hAnsi="Times New Roman" w:cs="Times New Roman"/>
      <w:sz w:val="24"/>
      <w:szCs w:val="24"/>
    </w:rPr>
  </w:style>
  <w:style w:type="paragraph" w:styleId="BodyText2">
    <w:name w:val="Body Text 2"/>
    <w:basedOn w:val="Normal"/>
    <w:link w:val="BodyText2Char"/>
    <w:semiHidden/>
    <w:rsid w:val="00A72A42"/>
    <w:pPr>
      <w:jc w:val="center"/>
    </w:pPr>
  </w:style>
  <w:style w:type="character" w:customStyle="1" w:styleId="BodyText2Char">
    <w:name w:val="Body Text 2 Char"/>
    <w:basedOn w:val="DefaultParagraphFont"/>
    <w:link w:val="BodyText2"/>
    <w:semiHidden/>
    <w:rsid w:val="00A72A4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A72A42"/>
    <w:pPr>
      <w:ind w:left="720"/>
    </w:pPr>
  </w:style>
  <w:style w:type="character" w:customStyle="1" w:styleId="BodyTextIndent2Char">
    <w:name w:val="Body Text Indent 2 Char"/>
    <w:basedOn w:val="DefaultParagraphFont"/>
    <w:link w:val="BodyTextIndent2"/>
    <w:semiHidden/>
    <w:rsid w:val="00A72A42"/>
    <w:rPr>
      <w:rFonts w:ascii="Times New Roman" w:eastAsia="Times New Roman" w:hAnsi="Times New Roman" w:cs="Times New Roman"/>
      <w:sz w:val="24"/>
      <w:szCs w:val="20"/>
    </w:rPr>
  </w:style>
  <w:style w:type="paragraph" w:styleId="BlockText">
    <w:name w:val="Block Text"/>
    <w:basedOn w:val="Normal"/>
    <w:semiHidden/>
    <w:rsid w:val="00A72A42"/>
    <w:pPr>
      <w:ind w:left="720" w:right="720"/>
    </w:pPr>
    <w:rPr>
      <w:szCs w:val="23"/>
      <w:lang w:val="en"/>
    </w:rPr>
  </w:style>
  <w:style w:type="character" w:styleId="Hyperlink">
    <w:name w:val="Hyperlink"/>
    <w:semiHidden/>
    <w:rsid w:val="00A72A42"/>
    <w:rPr>
      <w:color w:val="0000FF"/>
      <w:u w:val="single"/>
    </w:rPr>
  </w:style>
  <w:style w:type="character" w:styleId="FollowedHyperlink">
    <w:name w:val="FollowedHyperlink"/>
    <w:semiHidden/>
    <w:rsid w:val="00A72A42"/>
    <w:rPr>
      <w:color w:val="800080"/>
      <w:u w:val="single"/>
    </w:rPr>
  </w:style>
  <w:style w:type="character" w:styleId="Strong">
    <w:name w:val="Strong"/>
    <w:qFormat/>
    <w:rsid w:val="009E16A4"/>
    <w:rPr>
      <w:b/>
      <w:bCs/>
    </w:rPr>
  </w:style>
  <w:style w:type="character" w:styleId="Emphasis">
    <w:name w:val="Emphasis"/>
    <w:uiPriority w:val="20"/>
    <w:qFormat/>
    <w:rsid w:val="009E16A4"/>
    <w:rPr>
      <w:i/>
      <w:iCs/>
    </w:rPr>
  </w:style>
  <w:style w:type="paragraph" w:styleId="NormalWeb">
    <w:name w:val="Normal (Web)"/>
    <w:basedOn w:val="Normal"/>
    <w:semiHidden/>
    <w:rsid w:val="00A72A42"/>
    <w:pPr>
      <w:spacing w:after="225" w:line="360" w:lineRule="atLeast"/>
    </w:pPr>
    <w:rPr>
      <w:rFonts w:ascii="Verdana" w:eastAsia="Arial Unicode MS" w:hAnsi="Verdana" w:cs="Arial Unicode MS"/>
      <w:color w:val="000000"/>
    </w:rPr>
  </w:style>
  <w:style w:type="paragraph" w:styleId="HTMLPreformatted">
    <w:name w:val="HTML Preformatted"/>
    <w:basedOn w:val="Normal"/>
    <w:link w:val="HTMLPreformattedChar1"/>
    <w:semiHidden/>
    <w:rsid w:val="00A72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1">
    <w:name w:val="HTML Preformatted Char1"/>
    <w:basedOn w:val="DefaultParagraphFont"/>
    <w:link w:val="HTMLPreformatted"/>
    <w:semiHidden/>
    <w:rsid w:val="00A72A42"/>
    <w:rPr>
      <w:rFonts w:ascii="Courier New" w:eastAsia="Times New Roman" w:hAnsi="Courier New" w:cs="Courier New"/>
      <w:color w:val="000000"/>
      <w:sz w:val="20"/>
      <w:szCs w:val="20"/>
    </w:rPr>
  </w:style>
  <w:style w:type="paragraph" w:customStyle="1" w:styleId="UPhxBodyText2">
    <w:name w:val="UPhx Body Text 2"/>
    <w:basedOn w:val="Normal"/>
    <w:rsid w:val="00C57074"/>
    <w:pPr>
      <w:spacing w:before="60" w:after="60"/>
      <w:ind w:left="36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image" Target="media/image3.wmf"/><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4218</Characters>
  <Application>Microsoft Office Word</Application>
  <DocSecurity>0</DocSecurity>
  <Lines>35</Lines>
  <Paragraphs>9</Paragraphs>
  <ScaleCrop>false</ScaleCrop>
  <Company>GE</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200009005</dc:creator>
  <cp:keywords/>
  <dc:description/>
  <cp:lastModifiedBy>200009005</cp:lastModifiedBy>
  <cp:revision>1</cp:revision>
  <dcterms:created xsi:type="dcterms:W3CDTF">2011-03-18T01:58:00Z</dcterms:created>
  <dcterms:modified xsi:type="dcterms:W3CDTF">2011-03-18T01:59:00Z</dcterms:modified>
</cp:coreProperties>
</file>