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B" w:rsidRDefault="0073591C" w:rsidP="007359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FC1C6B" w:rsidRDefault="007052CD" w:rsidP="0073591C">
      <w:pPr>
        <w:rPr>
          <w:b/>
        </w:rPr>
      </w:pPr>
      <w:r>
        <w:rPr>
          <w:b/>
        </w:rPr>
        <w:t>P &amp; L problem</w:t>
      </w:r>
    </w:p>
    <w:p w:rsidR="00A4207B" w:rsidRDefault="00A4207B" w:rsidP="00DB69A8">
      <w:pPr>
        <w:jc w:val="center"/>
      </w:pPr>
    </w:p>
    <w:p w:rsidR="00FC1C6B" w:rsidRDefault="002269B6" w:rsidP="007C51C5">
      <w:pPr>
        <w:jc w:val="center"/>
      </w:pPr>
      <w:r>
        <w:rPr>
          <w:b/>
        </w:rPr>
        <w:t>DaVita Hemodialysis Center</w:t>
      </w:r>
    </w:p>
    <w:p w:rsidR="00DB69A8" w:rsidRDefault="00DB69A8" w:rsidP="00DB69A8">
      <w:pPr>
        <w:jc w:val="center"/>
      </w:pPr>
    </w:p>
    <w:p w:rsidR="00DB69A8" w:rsidRDefault="00DB69A8" w:rsidP="00DB69A8">
      <w:r>
        <w:t>Assume the following:</w:t>
      </w:r>
      <w:r w:rsidR="00A951C8">
        <w:t xml:space="preserve"> </w:t>
      </w:r>
    </w:p>
    <w:p w:rsidR="007B050D" w:rsidRDefault="007B050D" w:rsidP="00DB69A8"/>
    <w:p w:rsidR="00B30A88" w:rsidRDefault="00B30A88" w:rsidP="00586AE1">
      <w:r>
        <w:t xml:space="preserve">You </w:t>
      </w:r>
      <w:proofErr w:type="gramStart"/>
      <w:r>
        <w:t>have</w:t>
      </w:r>
      <w:r w:rsidR="00586AE1">
        <w:t xml:space="preserve"> just been hired</w:t>
      </w:r>
      <w:proofErr w:type="gramEnd"/>
      <w:r w:rsidR="00586AE1">
        <w:t xml:space="preserve"> as the manager for DaVita’s</w:t>
      </w:r>
      <w:r w:rsidR="007B050D">
        <w:t xml:space="preserve"> </w:t>
      </w:r>
      <w:r w:rsidR="00586AE1">
        <w:t>Westside Hemodialysis Center</w:t>
      </w:r>
      <w:r w:rsidR="007B050D">
        <w:t xml:space="preserve">.  </w:t>
      </w:r>
      <w:r w:rsidR="00C7090F">
        <w:t>The Regional M</w:t>
      </w:r>
      <w:r w:rsidR="00586AE1">
        <w:t xml:space="preserve">anager </w:t>
      </w:r>
      <w:r w:rsidR="0073591C">
        <w:t>will be doing a</w:t>
      </w:r>
      <w:r w:rsidR="00586AE1">
        <w:t xml:space="preserve"> site </w:t>
      </w:r>
      <w:r w:rsidR="0073591C">
        <w:t>visit in a few days and will be reviewing</w:t>
      </w:r>
      <w:r w:rsidR="00586AE1">
        <w:t xml:space="preserve"> the </w:t>
      </w:r>
      <w:r w:rsidR="0073591C">
        <w:t xml:space="preserve">Center’s </w:t>
      </w:r>
      <w:r w:rsidR="00586AE1">
        <w:t>operating performance.  You must complete a</w:t>
      </w:r>
      <w:r w:rsidR="0073591C">
        <w:t xml:space="preserve"> monthly P &amp; L statement and a</w:t>
      </w:r>
      <w:r w:rsidR="00586AE1">
        <w:t xml:space="preserve"> </w:t>
      </w:r>
      <w:r w:rsidR="0073591C">
        <w:t xml:space="preserve">variance analysis </w:t>
      </w:r>
      <w:r w:rsidR="00586AE1">
        <w:t>and provide a</w:t>
      </w:r>
      <w:r w:rsidR="002269B6">
        <w:t>n action plan for achieving budget projections in March</w:t>
      </w:r>
      <w:r w:rsidR="0073591C">
        <w:t xml:space="preserve"> to prepare for this meeting</w:t>
      </w:r>
      <w:r w:rsidR="002269B6">
        <w:t>.</w:t>
      </w:r>
      <w:r w:rsidR="00586AE1">
        <w:t xml:space="preserve"> </w:t>
      </w:r>
    </w:p>
    <w:p w:rsidR="007052CD" w:rsidRDefault="007052CD" w:rsidP="007052CD">
      <w:pPr>
        <w:pStyle w:val="NormalWeb"/>
      </w:pPr>
      <w:r>
        <w:t xml:space="preserve">This is a case analysis.  That said, you need to use the info you were given in the best way you can to develop your P&amp;L.  You are working on a variance analysis for your boss.  Should you compare Jan and Feb to budget, or should you use a trending analysis? You should use whatever you believe will give your boss the best answers. </w:t>
      </w:r>
    </w:p>
    <w:p w:rsidR="007052CD" w:rsidRDefault="007052CD" w:rsidP="007052CD">
      <w:pPr>
        <w:pStyle w:val="NormalWeb"/>
      </w:pPr>
      <w:proofErr w:type="gramStart"/>
      <w:r>
        <w:t>A tip on the revenue.</w:t>
      </w:r>
      <w:proofErr w:type="gramEnd"/>
      <w:r>
        <w:t xml:space="preserve">  You do not have enough info to estimate Gross Revenue.  You can use the </w:t>
      </w:r>
      <w:r w:rsidR="00760A20">
        <w:t>payer</w:t>
      </w:r>
      <w:r>
        <w:t xml:space="preserve"> mix numbers and multiply them against the total encounters to develop the net revenue numbers.  </w:t>
      </w:r>
    </w:p>
    <w:p w:rsidR="007052CD" w:rsidRDefault="007052CD" w:rsidP="007052CD">
      <w:pPr>
        <w:pStyle w:val="NormalWeb"/>
      </w:pPr>
      <w:r>
        <w:t>For example to calculate the net revenue for January, you can use the following formula:</w:t>
      </w:r>
    </w:p>
    <w:p w:rsidR="007052CD" w:rsidRDefault="007052CD" w:rsidP="007052CD">
      <w:pPr>
        <w:pStyle w:val="NormalWeb"/>
      </w:pPr>
      <w:proofErr w:type="gramStart"/>
      <w:r>
        <w:t>total</w:t>
      </w:r>
      <w:proofErr w:type="gramEnd"/>
      <w:r>
        <w:t xml:space="preserve"> encounters = 1,925. </w:t>
      </w:r>
    </w:p>
    <w:p w:rsidR="007052CD" w:rsidRDefault="007052CD" w:rsidP="007052CD">
      <w:pPr>
        <w:pStyle w:val="NormalWeb"/>
      </w:pPr>
      <w:proofErr w:type="gramStart"/>
      <w:r>
        <w:t>80%</w:t>
      </w:r>
      <w:proofErr w:type="gramEnd"/>
      <w:r>
        <w:t xml:space="preserve"> of 1,925 = 1,540   then you multiply that number by the reimbursement rate of $75.00. </w:t>
      </w:r>
    </w:p>
    <w:p w:rsidR="007052CD" w:rsidRDefault="007052CD" w:rsidP="007052CD">
      <w:pPr>
        <w:pStyle w:val="NormalWeb"/>
      </w:pPr>
      <w:proofErr w:type="gramStart"/>
      <w:r>
        <w:t>3</w:t>
      </w:r>
      <w:proofErr w:type="gramEnd"/>
      <w:r>
        <w:t>% of 1,925 = 57.75 then multiply that number by $110</w:t>
      </w:r>
    </w:p>
    <w:p w:rsidR="007052CD" w:rsidRDefault="007052CD" w:rsidP="007052CD">
      <w:pPr>
        <w:pStyle w:val="NormalWeb"/>
      </w:pPr>
      <w:proofErr w:type="gramStart"/>
      <w:r>
        <w:t>15%</w:t>
      </w:r>
      <w:proofErr w:type="gramEnd"/>
      <w:r>
        <w:t xml:space="preserve"> 0f 1,925 = 288.75 then multiply by $62.00</w:t>
      </w:r>
    </w:p>
    <w:p w:rsidR="007052CD" w:rsidRDefault="007052CD" w:rsidP="007052CD">
      <w:pPr>
        <w:pStyle w:val="NormalWeb"/>
      </w:pPr>
      <w:proofErr w:type="gramStart"/>
      <w:r>
        <w:t>2</w:t>
      </w:r>
      <w:proofErr w:type="gramEnd"/>
      <w:r>
        <w:t xml:space="preserve">% of 1,925 = 38.50 hen multiply by $70. </w:t>
      </w:r>
    </w:p>
    <w:p w:rsidR="007052CD" w:rsidRDefault="007052CD" w:rsidP="007052CD">
      <w:pPr>
        <w:pStyle w:val="NormalWeb"/>
      </w:pPr>
      <w:r>
        <w:t>Add these together and you will have the net revenue.</w:t>
      </w:r>
    </w:p>
    <w:p w:rsidR="00B30A88" w:rsidRDefault="007052CD" w:rsidP="007052CD">
      <w:pPr>
        <w:pStyle w:val="NormalWeb"/>
      </w:pPr>
      <w:r>
        <w:t>Do the same for Feb.</w:t>
      </w:r>
    </w:p>
    <w:p w:rsidR="007052CD" w:rsidRDefault="007052CD" w:rsidP="007052CD">
      <w:pPr>
        <w:pStyle w:val="NormalWeb"/>
      </w:pPr>
    </w:p>
    <w:p w:rsidR="007052CD" w:rsidRDefault="007052CD" w:rsidP="007052CD">
      <w:pPr>
        <w:pStyle w:val="NormalWeb"/>
      </w:pPr>
    </w:p>
    <w:p w:rsidR="00B30A88" w:rsidRDefault="00B30A88" w:rsidP="00065D46">
      <w:r>
        <w:lastRenderedPageBreak/>
        <w:t>Guidelines</w:t>
      </w:r>
    </w:p>
    <w:p w:rsidR="00B30A88" w:rsidRDefault="00B30A88" w:rsidP="00065D46"/>
    <w:p w:rsidR="00DB69A8" w:rsidRDefault="00C7090F" w:rsidP="0014214F">
      <w:pPr>
        <w:numPr>
          <w:ilvl w:val="0"/>
          <w:numId w:val="23"/>
        </w:numPr>
        <w:ind w:right="7290"/>
      </w:pPr>
      <w:r>
        <w:t>The center operates 12 hours a day, 6 days a week</w:t>
      </w:r>
    </w:p>
    <w:p w:rsidR="002269B6" w:rsidRDefault="002269B6" w:rsidP="00BA1837">
      <w:pPr>
        <w:numPr>
          <w:ilvl w:val="0"/>
          <w:numId w:val="23"/>
        </w:numPr>
        <w:ind w:right="3870"/>
      </w:pPr>
      <w:r>
        <w:t xml:space="preserve">RN’s are generally scheduled to work </w:t>
      </w:r>
      <w:proofErr w:type="gramStart"/>
      <w:r>
        <w:t>12 hour</w:t>
      </w:r>
      <w:proofErr w:type="gramEnd"/>
      <w:r>
        <w:t xml:space="preserve"> shifts, 3 days a week.</w:t>
      </w:r>
    </w:p>
    <w:p w:rsidR="00BA1837" w:rsidRDefault="00BA1837" w:rsidP="00BA1837">
      <w:pPr>
        <w:numPr>
          <w:ilvl w:val="0"/>
          <w:numId w:val="23"/>
        </w:numPr>
        <w:ind w:right="3870"/>
      </w:pPr>
      <w:r>
        <w:t>Staff is paid time and a half for overtime up to 12 ho</w:t>
      </w:r>
      <w:r w:rsidR="002269B6">
        <w:t>urs, and double time for hours worked greater tha</w:t>
      </w:r>
      <w:r>
        <w:t>n 12 hours.</w:t>
      </w:r>
    </w:p>
    <w:p w:rsidR="0014214F" w:rsidRDefault="00BA1837" w:rsidP="00404D20">
      <w:pPr>
        <w:numPr>
          <w:ilvl w:val="0"/>
          <w:numId w:val="23"/>
        </w:numPr>
        <w:ind w:right="4320"/>
      </w:pPr>
      <w:r>
        <w:t xml:space="preserve">Medicare </w:t>
      </w:r>
      <w:r w:rsidR="002269B6">
        <w:t xml:space="preserve">reimbursement rates </w:t>
      </w:r>
      <w:proofErr w:type="gramStart"/>
      <w:r>
        <w:t>can’t</w:t>
      </w:r>
      <w:proofErr w:type="gramEnd"/>
      <w:r>
        <w:t xml:space="preserve"> be adjusted.</w:t>
      </w:r>
    </w:p>
    <w:p w:rsidR="002269B6" w:rsidRDefault="002269B6" w:rsidP="00A44357"/>
    <w:p w:rsidR="00A44357" w:rsidRDefault="002269B6" w:rsidP="00A44357">
      <w:r>
        <w:t>Remediation Plan</w:t>
      </w:r>
      <w:r w:rsidR="00A951C8">
        <w:br w:type="page"/>
      </w:r>
    </w:p>
    <w:p w:rsidR="005E6E2E" w:rsidRDefault="002269B6" w:rsidP="00E62151">
      <w:r>
        <w:t>Westside Center</w:t>
      </w:r>
    </w:p>
    <w:p w:rsidR="005E6E2E" w:rsidRDefault="005E6E2E" w:rsidP="00E62151"/>
    <w:tbl>
      <w:tblPr>
        <w:tblW w:w="14420" w:type="dxa"/>
        <w:tblInd w:w="93" w:type="dxa"/>
        <w:tblLook w:val="04A0"/>
      </w:tblPr>
      <w:tblGrid>
        <w:gridCol w:w="2657"/>
        <w:gridCol w:w="1505"/>
        <w:gridCol w:w="1183"/>
        <w:gridCol w:w="1151"/>
        <w:gridCol w:w="1239"/>
        <w:gridCol w:w="1505"/>
        <w:gridCol w:w="1239"/>
        <w:gridCol w:w="1525"/>
        <w:gridCol w:w="1239"/>
        <w:gridCol w:w="1177"/>
      </w:tblGrid>
      <w:tr w:rsidR="0073591C" w:rsidTr="0073591C">
        <w:trPr>
          <w:trHeight w:val="45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FFFFFF"/>
              <w:bottom w:val="single" w:sz="8" w:space="0" w:color="FFFFFF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January Actual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January Budget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February Actual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February Budget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FF72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Jan to Feb </w:t>
            </w:r>
            <w:r w:rsidR="002269B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Variance to Budget </w:t>
            </w:r>
          </w:p>
        </w:tc>
      </w:tr>
      <w:tr w:rsidR="002269B6" w:rsidTr="0073591C">
        <w:trPr>
          <w:trHeight w:val="81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 Treatment</w:t>
            </w:r>
          </w:p>
        </w:tc>
        <w:tc>
          <w:tcPr>
            <w:tcW w:w="115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 Treatment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 Treatment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 Treatment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Gross Revenue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 Revenue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Fixed Cost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Variable Cost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Contribution Margin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91C" w:rsidTr="0073591C">
        <w:trPr>
          <w:trHeight w:val="48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EBIDTA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E6E2E" w:rsidRDefault="005E6E2E" w:rsidP="00E62151"/>
    <w:p w:rsidR="00FC1C6B" w:rsidRDefault="00FC1C6B" w:rsidP="00B116F1">
      <w:pPr>
        <w:rPr>
          <w:b/>
        </w:rPr>
      </w:pPr>
    </w:p>
    <w:p w:rsidR="005F66AF" w:rsidRDefault="005F66AF" w:rsidP="00B116F1">
      <w:pPr>
        <w:rPr>
          <w:b/>
        </w:rPr>
      </w:pPr>
    </w:p>
    <w:p w:rsidR="007F6ABA" w:rsidRDefault="005E6E2E" w:rsidP="00B116F1">
      <w:pPr>
        <w:rPr>
          <w:b/>
        </w:rPr>
      </w:pPr>
      <w:r>
        <w:rPr>
          <w:b/>
        </w:rPr>
        <w:t xml:space="preserve">Volume </w:t>
      </w:r>
      <w:r w:rsidR="0073591C">
        <w:rPr>
          <w:b/>
        </w:rPr>
        <w:t>January and February</w:t>
      </w:r>
    </w:p>
    <w:p w:rsidR="0073591C" w:rsidRDefault="0073591C" w:rsidP="00B116F1">
      <w:pPr>
        <w:rPr>
          <w:b/>
        </w:rPr>
      </w:pPr>
    </w:p>
    <w:p w:rsidR="00B66487" w:rsidRDefault="00B66487" w:rsidP="00B116F1">
      <w:pPr>
        <w:rPr>
          <w:b/>
        </w:rPr>
      </w:pPr>
    </w:p>
    <w:tbl>
      <w:tblPr>
        <w:tblW w:w="7520" w:type="dxa"/>
        <w:tblInd w:w="93" w:type="dxa"/>
        <w:tblLook w:val="04A0"/>
      </w:tblPr>
      <w:tblGrid>
        <w:gridCol w:w="1360"/>
        <w:gridCol w:w="960"/>
        <w:gridCol w:w="960"/>
        <w:gridCol w:w="960"/>
        <w:gridCol w:w="1120"/>
        <w:gridCol w:w="960"/>
        <w:gridCol w:w="1200"/>
      </w:tblGrid>
      <w:tr w:rsidR="002269B6" w:rsidTr="002269B6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Monthly Budget</w:t>
            </w:r>
          </w:p>
        </w:tc>
      </w:tr>
      <w:tr w:rsidR="002269B6" w:rsidTr="002269B6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 Day</w:t>
            </w:r>
          </w:p>
        </w:tc>
      </w:tr>
      <w:tr w:rsidR="002269B6" w:rsidTr="002269B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Treatments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</w:tbl>
    <w:p w:rsidR="005E6E2E" w:rsidRDefault="005E6E2E" w:rsidP="00B116F1">
      <w:pPr>
        <w:rPr>
          <w:b/>
        </w:rPr>
      </w:pPr>
    </w:p>
    <w:p w:rsidR="005F66AF" w:rsidRDefault="005F66AF" w:rsidP="00B116F1">
      <w:pPr>
        <w:rPr>
          <w:b/>
        </w:rPr>
      </w:pPr>
    </w:p>
    <w:p w:rsidR="00404D20" w:rsidRDefault="00404D20" w:rsidP="00B116F1">
      <w:pPr>
        <w:rPr>
          <w:b/>
        </w:rPr>
      </w:pPr>
    </w:p>
    <w:p w:rsidR="00404D20" w:rsidRDefault="00404D20" w:rsidP="00B116F1">
      <w:pPr>
        <w:rPr>
          <w:b/>
        </w:rPr>
      </w:pPr>
    </w:p>
    <w:p w:rsidR="002269B6" w:rsidRDefault="002269B6" w:rsidP="00B116F1">
      <w:pPr>
        <w:rPr>
          <w:b/>
        </w:rPr>
      </w:pPr>
    </w:p>
    <w:p w:rsidR="002269B6" w:rsidRDefault="002269B6" w:rsidP="00B116F1">
      <w:pPr>
        <w:rPr>
          <w:b/>
        </w:rPr>
      </w:pPr>
    </w:p>
    <w:p w:rsidR="002269B6" w:rsidRDefault="002269B6" w:rsidP="00B116F1">
      <w:pPr>
        <w:rPr>
          <w:b/>
        </w:rPr>
      </w:pPr>
    </w:p>
    <w:p w:rsidR="002269B6" w:rsidRDefault="002269B6" w:rsidP="00B116F1">
      <w:pPr>
        <w:rPr>
          <w:b/>
        </w:rPr>
      </w:pPr>
    </w:p>
    <w:p w:rsidR="002269B6" w:rsidRDefault="002269B6" w:rsidP="00B116F1">
      <w:pPr>
        <w:rPr>
          <w:b/>
        </w:rPr>
      </w:pPr>
    </w:p>
    <w:p w:rsidR="002269B6" w:rsidRDefault="002269B6" w:rsidP="00B116F1">
      <w:pPr>
        <w:rPr>
          <w:b/>
        </w:rPr>
      </w:pPr>
    </w:p>
    <w:p w:rsidR="007F6ABA" w:rsidRDefault="005E6E2E" w:rsidP="00B116F1">
      <w:pPr>
        <w:rPr>
          <w:b/>
        </w:rPr>
      </w:pPr>
      <w:r>
        <w:rPr>
          <w:b/>
        </w:rPr>
        <w:t>Expense Description</w:t>
      </w:r>
    </w:p>
    <w:p w:rsidR="002269B6" w:rsidRDefault="002269B6" w:rsidP="00B116F1">
      <w:pPr>
        <w:rPr>
          <w:b/>
        </w:rPr>
      </w:pPr>
    </w:p>
    <w:tbl>
      <w:tblPr>
        <w:tblW w:w="7600" w:type="dxa"/>
        <w:tblInd w:w="93" w:type="dxa"/>
        <w:tblLook w:val="04A0"/>
      </w:tblPr>
      <w:tblGrid>
        <w:gridCol w:w="2920"/>
        <w:gridCol w:w="1039"/>
        <w:gridCol w:w="1214"/>
        <w:gridCol w:w="2427"/>
      </w:tblGrid>
      <w:tr w:rsidR="002269B6" w:rsidTr="002269B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Average Cost Per TX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Monthly Budget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Drugs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$8.50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$6.50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$7.50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$2.00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$1.40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Supplies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$12.00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$11.00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$10.00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$20.50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$19.50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$18.90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Monthly Fixed Cost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Monthly Budget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Building Lease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$2,200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$2,300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$8,200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$8,300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$7,500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Monthly Fixed Salaries/Benefits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Monthly Budget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Biomedical Engineer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Manager Salary &amp; Benefits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$546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$10,500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$10,500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Receptionist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$2,200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$2,300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$1,500</w:t>
            </w:r>
          </w:p>
        </w:tc>
      </w:tr>
      <w:tr w:rsidR="002269B6" w:rsidTr="002269B6">
        <w:trPr>
          <w:trHeight w:val="300"/>
        </w:trPr>
        <w:tc>
          <w:tcPr>
            <w:tcW w:w="29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$8,746</w:t>
            </w: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$18,800</w:t>
            </w:r>
          </w:p>
        </w:tc>
        <w:tc>
          <w:tcPr>
            <w:tcW w:w="242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$18,000</w:t>
            </w:r>
          </w:p>
        </w:tc>
      </w:tr>
    </w:tbl>
    <w:p w:rsidR="005E6E2E" w:rsidRDefault="005E6E2E" w:rsidP="00B116F1">
      <w:pPr>
        <w:rPr>
          <w:b/>
        </w:rPr>
      </w:pPr>
    </w:p>
    <w:p w:rsidR="007F6ABA" w:rsidRDefault="007F6ABA" w:rsidP="00B116F1">
      <w:pPr>
        <w:rPr>
          <w:b/>
        </w:rPr>
      </w:pPr>
    </w:p>
    <w:p w:rsidR="007F6ABA" w:rsidRDefault="005E6E2E" w:rsidP="00B116F1">
      <w:pPr>
        <w:rPr>
          <w:b/>
        </w:rPr>
      </w:pPr>
      <w:r>
        <w:rPr>
          <w:b/>
        </w:rPr>
        <w:t>Payer Summary</w:t>
      </w:r>
    </w:p>
    <w:p w:rsidR="002269B6" w:rsidRDefault="002269B6" w:rsidP="00B116F1">
      <w:pPr>
        <w:rPr>
          <w:b/>
        </w:rPr>
      </w:pPr>
    </w:p>
    <w:tbl>
      <w:tblPr>
        <w:tblW w:w="8920" w:type="dxa"/>
        <w:tblInd w:w="93" w:type="dxa"/>
        <w:tblLook w:val="04A0"/>
      </w:tblPr>
      <w:tblGrid>
        <w:gridCol w:w="1740"/>
        <w:gridCol w:w="920"/>
        <w:gridCol w:w="1240"/>
        <w:gridCol w:w="1000"/>
        <w:gridCol w:w="1360"/>
        <w:gridCol w:w="1260"/>
        <w:gridCol w:w="1400"/>
      </w:tblGrid>
      <w:tr w:rsidR="002269B6" w:rsidTr="002269B6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69B6" w:rsidRDefault="00FF72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January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69B6" w:rsidRDefault="00FF72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February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269B6" w:rsidRDefault="00FF724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Monthly</w:t>
            </w:r>
            <w:r w:rsidR="002269B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Budget</w:t>
            </w:r>
          </w:p>
        </w:tc>
      </w:tr>
      <w:tr w:rsidR="002269B6" w:rsidTr="002269B6">
        <w:trPr>
          <w:trHeight w:val="9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Payer 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Net Revenue Per Treatment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Percent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Net Revenue Per Treatment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Percent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Net Revenue Per Treatment</w:t>
            </w:r>
          </w:p>
        </w:tc>
      </w:tr>
      <w:tr w:rsidR="002269B6" w:rsidTr="002269B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$75.00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$75.00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$75.00</w:t>
            </w:r>
          </w:p>
        </w:tc>
      </w:tr>
      <w:tr w:rsidR="002269B6" w:rsidTr="002269B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Commercial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$110.00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$112.00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$112.00</w:t>
            </w:r>
          </w:p>
        </w:tc>
      </w:tr>
      <w:tr w:rsidR="002269B6" w:rsidTr="002269B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$62.00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$62.00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$62.00</w:t>
            </w:r>
          </w:p>
        </w:tc>
      </w:tr>
      <w:tr w:rsidR="002269B6" w:rsidTr="002269B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Self-pay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$70.00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$70.00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$70.00</w:t>
            </w:r>
          </w:p>
        </w:tc>
      </w:tr>
    </w:tbl>
    <w:p w:rsidR="007F6ABA" w:rsidRDefault="007F6ABA" w:rsidP="00B116F1">
      <w:pPr>
        <w:rPr>
          <w:b/>
        </w:rPr>
      </w:pPr>
    </w:p>
    <w:p w:rsidR="0014214F" w:rsidRDefault="0014214F" w:rsidP="0014214F"/>
    <w:p w:rsidR="00404D20" w:rsidRDefault="00404D20" w:rsidP="0014214F"/>
    <w:p w:rsidR="00B66487" w:rsidRDefault="00B66487" w:rsidP="0014214F">
      <w:pPr>
        <w:rPr>
          <w:b/>
        </w:rPr>
      </w:pPr>
    </w:p>
    <w:p w:rsidR="0014214F" w:rsidRPr="00404D20" w:rsidRDefault="005F66AF" w:rsidP="0014214F">
      <w:pPr>
        <w:rPr>
          <w:b/>
        </w:rPr>
      </w:pPr>
      <w:r w:rsidRPr="00404D20">
        <w:rPr>
          <w:b/>
        </w:rPr>
        <w:t>Labor Worksheet</w:t>
      </w:r>
    </w:p>
    <w:p w:rsidR="005F66AF" w:rsidRDefault="005F66AF" w:rsidP="0014214F"/>
    <w:p w:rsidR="005F66AF" w:rsidRDefault="005F66AF" w:rsidP="0014214F"/>
    <w:p w:rsidR="0014214F" w:rsidRDefault="0014214F" w:rsidP="0014214F"/>
    <w:tbl>
      <w:tblPr>
        <w:tblW w:w="9900" w:type="dxa"/>
        <w:tblInd w:w="93" w:type="dxa"/>
        <w:tblLook w:val="04A0"/>
      </w:tblPr>
      <w:tblGrid>
        <w:gridCol w:w="1980"/>
        <w:gridCol w:w="1320"/>
        <w:gridCol w:w="1320"/>
        <w:gridCol w:w="1320"/>
        <w:gridCol w:w="1320"/>
        <w:gridCol w:w="1320"/>
        <w:gridCol w:w="1320"/>
      </w:tblGrid>
      <w:tr w:rsidR="002269B6" w:rsidTr="002269B6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269B6" w:rsidTr="002269B6">
        <w:trPr>
          <w:trHeight w:val="12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Avg Treatments per 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Minutes Per TX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Avg Total FTE"s Day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Total Paid Hours 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Hourly Expense per FTE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Average Cost Per Treatment</w:t>
            </w:r>
          </w:p>
        </w:tc>
      </w:tr>
      <w:tr w:rsidR="002269B6" w:rsidTr="002269B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Registered Nurse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$41.50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$34.58</w:t>
            </w:r>
          </w:p>
        </w:tc>
      </w:tr>
      <w:tr w:rsidR="002269B6" w:rsidTr="002269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69B6" w:rsidTr="002269B6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269B6" w:rsidTr="002269B6">
        <w:trPr>
          <w:trHeight w:val="9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Avg Treatments per 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Minutes Per TX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Avg Total FTE"s Day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Total Paid Hours 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Hourly Expense per FTE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Average Cost Per Treatment</w:t>
            </w:r>
          </w:p>
        </w:tc>
      </w:tr>
      <w:tr w:rsidR="002269B6" w:rsidTr="002269B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Registered Nurse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$34.83</w:t>
            </w:r>
          </w:p>
        </w:tc>
      </w:tr>
      <w:tr w:rsidR="002269B6" w:rsidTr="002269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69B6" w:rsidTr="002269B6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269B6" w:rsidTr="002269B6">
        <w:trPr>
          <w:trHeight w:val="9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Avg Treatments per 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Minutes Per TX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Avg Total FTE"s Day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Total Paid Hours 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Avg Hourly Expense per FTE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269B6" w:rsidRDefault="002269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Average Cost Per Treatment</w:t>
            </w:r>
          </w:p>
        </w:tc>
      </w:tr>
      <w:tr w:rsidR="002269B6" w:rsidTr="002269B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Registered Nurse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B6" w:rsidRDefault="002269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$25.67</w:t>
            </w:r>
          </w:p>
        </w:tc>
      </w:tr>
    </w:tbl>
    <w:p w:rsidR="007D52BC" w:rsidRPr="007D52BC" w:rsidRDefault="007D52BC" w:rsidP="0073591C">
      <w:pPr>
        <w:rPr>
          <w:rFonts w:ascii="Calibri" w:hAnsi="Calibri"/>
          <w:color w:val="000000"/>
          <w:kern w:val="24"/>
        </w:rPr>
      </w:pPr>
    </w:p>
    <w:sectPr w:rsidR="007D52BC" w:rsidRPr="007D52BC" w:rsidSect="00A951C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65B"/>
    <w:multiLevelType w:val="hybridMultilevel"/>
    <w:tmpl w:val="D7B86CC6"/>
    <w:lvl w:ilvl="0" w:tplc="4A728F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6D6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F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C6C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B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A3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C3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EBC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82A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D0916"/>
    <w:multiLevelType w:val="hybridMultilevel"/>
    <w:tmpl w:val="350C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4CC5"/>
    <w:multiLevelType w:val="hybridMultilevel"/>
    <w:tmpl w:val="182A4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5ED8"/>
    <w:multiLevelType w:val="hybridMultilevel"/>
    <w:tmpl w:val="850A4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35856"/>
    <w:multiLevelType w:val="hybridMultilevel"/>
    <w:tmpl w:val="2EC6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7B77"/>
    <w:multiLevelType w:val="hybridMultilevel"/>
    <w:tmpl w:val="A6FC9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E77462"/>
    <w:multiLevelType w:val="hybridMultilevel"/>
    <w:tmpl w:val="0A44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4A06"/>
    <w:multiLevelType w:val="hybridMultilevel"/>
    <w:tmpl w:val="0B64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F3015"/>
    <w:multiLevelType w:val="hybridMultilevel"/>
    <w:tmpl w:val="6198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336D"/>
    <w:multiLevelType w:val="hybridMultilevel"/>
    <w:tmpl w:val="90D01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79B7"/>
    <w:multiLevelType w:val="hybridMultilevel"/>
    <w:tmpl w:val="33BC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2641B"/>
    <w:multiLevelType w:val="hybridMultilevel"/>
    <w:tmpl w:val="052A6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534970"/>
    <w:multiLevelType w:val="hybridMultilevel"/>
    <w:tmpl w:val="FD90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3F79"/>
    <w:multiLevelType w:val="hybridMultilevel"/>
    <w:tmpl w:val="A904A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537F7"/>
    <w:multiLevelType w:val="hybridMultilevel"/>
    <w:tmpl w:val="57C0E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1B2023"/>
    <w:multiLevelType w:val="hybridMultilevel"/>
    <w:tmpl w:val="336C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E4128"/>
    <w:multiLevelType w:val="hybridMultilevel"/>
    <w:tmpl w:val="D3A8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00CC9"/>
    <w:multiLevelType w:val="hybridMultilevel"/>
    <w:tmpl w:val="6FB2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94DDA"/>
    <w:multiLevelType w:val="hybridMultilevel"/>
    <w:tmpl w:val="C28C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217C"/>
    <w:multiLevelType w:val="hybridMultilevel"/>
    <w:tmpl w:val="9092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80BC2"/>
    <w:multiLevelType w:val="hybridMultilevel"/>
    <w:tmpl w:val="A3989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801E6C"/>
    <w:multiLevelType w:val="hybridMultilevel"/>
    <w:tmpl w:val="9BE29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972831"/>
    <w:multiLevelType w:val="hybridMultilevel"/>
    <w:tmpl w:val="17B49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9"/>
  </w:num>
  <w:num w:numId="8">
    <w:abstractNumId w:val="13"/>
  </w:num>
  <w:num w:numId="9">
    <w:abstractNumId w:val="22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21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9A8"/>
    <w:rsid w:val="0000240A"/>
    <w:rsid w:val="00065D46"/>
    <w:rsid w:val="000950A6"/>
    <w:rsid w:val="000D7DF4"/>
    <w:rsid w:val="0014214F"/>
    <w:rsid w:val="001848C3"/>
    <w:rsid w:val="001F3DFC"/>
    <w:rsid w:val="00222845"/>
    <w:rsid w:val="002269B6"/>
    <w:rsid w:val="0023578B"/>
    <w:rsid w:val="00297362"/>
    <w:rsid w:val="002B70E4"/>
    <w:rsid w:val="002B7EAA"/>
    <w:rsid w:val="002F59DE"/>
    <w:rsid w:val="00304BC5"/>
    <w:rsid w:val="003068CA"/>
    <w:rsid w:val="003D397B"/>
    <w:rsid w:val="00404D20"/>
    <w:rsid w:val="00411E55"/>
    <w:rsid w:val="0041704C"/>
    <w:rsid w:val="00472355"/>
    <w:rsid w:val="00494A06"/>
    <w:rsid w:val="004A0DE0"/>
    <w:rsid w:val="004A3FF3"/>
    <w:rsid w:val="004F4083"/>
    <w:rsid w:val="004F6E20"/>
    <w:rsid w:val="005105B9"/>
    <w:rsid w:val="005359F3"/>
    <w:rsid w:val="00586AE1"/>
    <w:rsid w:val="005B622C"/>
    <w:rsid w:val="005E6E2E"/>
    <w:rsid w:val="005F3C94"/>
    <w:rsid w:val="005F66AF"/>
    <w:rsid w:val="00610D90"/>
    <w:rsid w:val="00621116"/>
    <w:rsid w:val="006610FF"/>
    <w:rsid w:val="00671535"/>
    <w:rsid w:val="006F7370"/>
    <w:rsid w:val="007052CD"/>
    <w:rsid w:val="0071670F"/>
    <w:rsid w:val="00722AA7"/>
    <w:rsid w:val="00730159"/>
    <w:rsid w:val="0073591C"/>
    <w:rsid w:val="00740677"/>
    <w:rsid w:val="00760A20"/>
    <w:rsid w:val="00787FFD"/>
    <w:rsid w:val="00796246"/>
    <w:rsid w:val="007B050D"/>
    <w:rsid w:val="007B1BFE"/>
    <w:rsid w:val="007C51C5"/>
    <w:rsid w:val="007D52BC"/>
    <w:rsid w:val="007F6ABA"/>
    <w:rsid w:val="00862B06"/>
    <w:rsid w:val="00880910"/>
    <w:rsid w:val="008873A7"/>
    <w:rsid w:val="008A08F6"/>
    <w:rsid w:val="008B27D6"/>
    <w:rsid w:val="00933CD4"/>
    <w:rsid w:val="00982B86"/>
    <w:rsid w:val="009A5BDB"/>
    <w:rsid w:val="009B16B8"/>
    <w:rsid w:val="00A060EA"/>
    <w:rsid w:val="00A4207B"/>
    <w:rsid w:val="00A44357"/>
    <w:rsid w:val="00A951C8"/>
    <w:rsid w:val="00B05A4B"/>
    <w:rsid w:val="00B116F1"/>
    <w:rsid w:val="00B30A88"/>
    <w:rsid w:val="00B61F1B"/>
    <w:rsid w:val="00B66487"/>
    <w:rsid w:val="00BA1837"/>
    <w:rsid w:val="00BE69B7"/>
    <w:rsid w:val="00C05F62"/>
    <w:rsid w:val="00C22E8A"/>
    <w:rsid w:val="00C7090F"/>
    <w:rsid w:val="00CB29B3"/>
    <w:rsid w:val="00CD4AA4"/>
    <w:rsid w:val="00CE40F6"/>
    <w:rsid w:val="00D35F5D"/>
    <w:rsid w:val="00D44CD7"/>
    <w:rsid w:val="00D50837"/>
    <w:rsid w:val="00DA4844"/>
    <w:rsid w:val="00DB69A8"/>
    <w:rsid w:val="00DB70D1"/>
    <w:rsid w:val="00E14BD4"/>
    <w:rsid w:val="00E21AF4"/>
    <w:rsid w:val="00E457BF"/>
    <w:rsid w:val="00E62151"/>
    <w:rsid w:val="00E75A93"/>
    <w:rsid w:val="00F403EF"/>
    <w:rsid w:val="00FA48FA"/>
    <w:rsid w:val="00FC1C6B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4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62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21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99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Northridge</vt:lpstr>
    </vt:vector>
  </TitlesOfParts>
  <Company>American Health Management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Northridge</dc:title>
  <dc:creator>Jennifer</dc:creator>
  <cp:lastModifiedBy>David</cp:lastModifiedBy>
  <cp:revision>4</cp:revision>
  <cp:lastPrinted>2011-03-11T06:10:00Z</cp:lastPrinted>
  <dcterms:created xsi:type="dcterms:W3CDTF">2011-03-14T00:22:00Z</dcterms:created>
  <dcterms:modified xsi:type="dcterms:W3CDTF">2011-03-14T00:42:00Z</dcterms:modified>
</cp:coreProperties>
</file>