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08" w:type="dxa"/>
        <w:tblBorders>
          <w:top w:val="single" w:sz="8" w:space="0" w:color="6D6D6D"/>
          <w:left w:val="single" w:sz="8" w:space="0" w:color="6D6D6D"/>
          <w:right w:val="single" w:sz="8" w:space="0" w:color="6D6D6D"/>
        </w:tblBorders>
        <w:tblLayout w:type="fixed"/>
        <w:tblLook w:val="0000"/>
      </w:tblPr>
      <w:tblGrid>
        <w:gridCol w:w="2001"/>
        <w:gridCol w:w="2324"/>
        <w:gridCol w:w="1314"/>
        <w:gridCol w:w="1637"/>
        <w:gridCol w:w="1860"/>
        <w:gridCol w:w="5372"/>
      </w:tblGrid>
      <w:tr w:rsidR="006903FD" w:rsidRPr="006903FD">
        <w:tblPrEx>
          <w:tblCellMar>
            <w:top w:w="0" w:type="dxa"/>
            <w:bottom w:w="0" w:type="dxa"/>
          </w:tblCellMar>
        </w:tblPrEx>
        <w:tc>
          <w:tcPr>
            <w:tcW w:w="14508" w:type="dxa"/>
            <w:gridSpan w:val="6"/>
            <w:tcBorders>
              <w:top w:val="single" w:sz="8" w:space="0" w:color="6D6D6D"/>
              <w:bottom w:val="single" w:sz="8" w:space="0" w:color="6D6D6D"/>
            </w:tcBorders>
            <w:shd w:val="clear" w:color="auto" w:fill="FFFFFF"/>
            <w:vAlign w:val="center"/>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b/>
                <w:bCs/>
                <w:sz w:val="20"/>
                <w:szCs w:val="20"/>
              </w:rPr>
              <w:t>Group Statistics</w:t>
            </w:r>
          </w:p>
        </w:tc>
      </w:tr>
      <w:tr w:rsidR="006903FD" w:rsidRPr="006903FD">
        <w:tblPrEx>
          <w:tblBorders>
            <w:top w:val="none" w:sz="0" w:space="0" w:color="auto"/>
          </w:tblBorders>
          <w:tblCellMar>
            <w:top w:w="0" w:type="dxa"/>
            <w:bottom w:w="0" w:type="dxa"/>
          </w:tblCellMar>
        </w:tblPrEx>
        <w:tc>
          <w:tcPr>
            <w:tcW w:w="2001" w:type="dxa"/>
            <w:tcBorders>
              <w:top w:val="single" w:sz="8" w:space="0" w:color="6D6D6D"/>
              <w:bottom w:val="single" w:sz="8" w:space="0" w:color="6D6D6D"/>
              <w:right w:val="single" w:sz="8" w:space="0" w:color="6D6D6D"/>
            </w:tcBorders>
            <w:shd w:val="clear" w:color="auto" w:fill="FFFFFF"/>
            <w:vAlign w:val="center"/>
          </w:tcPr>
          <w:p w:rsidR="006903FD" w:rsidRPr="006903FD" w:rsidRDefault="006903FD" w:rsidP="006903FD">
            <w:pPr>
              <w:widowControl w:val="0"/>
              <w:autoSpaceDE w:val="0"/>
              <w:autoSpaceDN w:val="0"/>
              <w:adjustRightInd w:val="0"/>
              <w:spacing w:after="0"/>
              <w:rPr>
                <w:rFonts w:ascii="Arial" w:hAnsi="Arial" w:cs="Arial"/>
                <w:sz w:val="22"/>
                <w:szCs w:val="22"/>
              </w:rPr>
            </w:pPr>
            <w:r w:rsidRPr="006903FD">
              <w:rPr>
                <w:rFonts w:ascii="ヒラギノ明朝 ProN W3" w:eastAsia="ヒラギノ明朝 ProN W3" w:hAnsi="ヒラギノ明朝 ProN W3" w:cs="ヒラギノ明朝 ProN W3" w:hint="eastAsia"/>
                <w:sz w:val="22"/>
                <w:szCs w:val="22"/>
              </w:rPr>
              <w:t xml:space="preserve">　</w:t>
            </w:r>
          </w:p>
        </w:tc>
        <w:tc>
          <w:tcPr>
            <w:tcW w:w="2324" w:type="dxa"/>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Group</w:t>
            </w:r>
          </w:p>
        </w:tc>
        <w:tc>
          <w:tcPr>
            <w:tcW w:w="1314" w:type="dxa"/>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sz w:val="20"/>
                <w:szCs w:val="20"/>
              </w:rPr>
              <w:t>N</w:t>
            </w:r>
          </w:p>
        </w:tc>
        <w:tc>
          <w:tcPr>
            <w:tcW w:w="1637" w:type="dxa"/>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sz w:val="20"/>
                <w:szCs w:val="20"/>
              </w:rPr>
              <w:t>Mean</w:t>
            </w:r>
          </w:p>
        </w:tc>
        <w:tc>
          <w:tcPr>
            <w:tcW w:w="1860" w:type="dxa"/>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sz w:val="20"/>
                <w:szCs w:val="20"/>
              </w:rPr>
              <w:t>Std. Deviation</w:t>
            </w:r>
          </w:p>
        </w:tc>
        <w:tc>
          <w:tcPr>
            <w:tcW w:w="5372" w:type="dxa"/>
            <w:tcBorders>
              <w:top w:val="single" w:sz="8" w:space="0" w:color="6D6D6D"/>
              <w:left w:val="single" w:sz="8" w:space="0" w:color="6D6D6D"/>
              <w:bottom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Std. Error Mean</w:t>
            </w:r>
          </w:p>
        </w:tc>
      </w:tr>
      <w:tr w:rsidR="006903FD" w:rsidRPr="006903FD">
        <w:tblPrEx>
          <w:tblBorders>
            <w:top w:val="none" w:sz="0" w:space="0" w:color="auto"/>
          </w:tblBorders>
          <w:tblCellMar>
            <w:top w:w="0" w:type="dxa"/>
            <w:bottom w:w="0" w:type="dxa"/>
          </w:tblCellMar>
        </w:tblPrEx>
        <w:tc>
          <w:tcPr>
            <w:tcW w:w="2001" w:type="dxa"/>
            <w:vMerge w:val="restart"/>
            <w:tcBorders>
              <w:top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Annual Income</w:t>
            </w:r>
          </w:p>
        </w:tc>
        <w:tc>
          <w:tcPr>
            <w:tcW w:w="2324"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Control Group</w:t>
            </w:r>
          </w:p>
        </w:tc>
        <w:tc>
          <w:tcPr>
            <w:tcW w:w="1314"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42</w:t>
            </w:r>
          </w:p>
        </w:tc>
        <w:tc>
          <w:tcPr>
            <w:tcW w:w="1637"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20813.7143</w:t>
            </w:r>
          </w:p>
        </w:tc>
        <w:tc>
          <w:tcPr>
            <w:tcW w:w="186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10578.81613</w:t>
            </w:r>
          </w:p>
        </w:tc>
        <w:tc>
          <w:tcPr>
            <w:tcW w:w="5372" w:type="dxa"/>
            <w:tcBorders>
              <w:top w:val="single" w:sz="8" w:space="0" w:color="6D6D6D"/>
              <w:left w:val="single" w:sz="8" w:space="0" w:color="6D6D6D"/>
              <w:bottom w:val="single" w:sz="8" w:space="0" w:color="6D6D6D"/>
            </w:tcBorders>
            <w:shd w:val="clear" w:color="auto" w:fill="FFFFFF"/>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1632.34677</w:t>
            </w:r>
          </w:p>
        </w:tc>
      </w:tr>
      <w:tr w:rsidR="006903FD" w:rsidRPr="006903FD">
        <w:tblPrEx>
          <w:tblBorders>
            <w:top w:val="none" w:sz="0" w:space="0" w:color="auto"/>
            <w:bottom w:val="single" w:sz="8" w:space="0" w:color="6D6D6D"/>
          </w:tblBorders>
          <w:tblCellMar>
            <w:top w:w="0" w:type="dxa"/>
            <w:bottom w:w="0" w:type="dxa"/>
          </w:tblCellMar>
        </w:tblPrEx>
        <w:tc>
          <w:tcPr>
            <w:tcW w:w="2001" w:type="dxa"/>
            <w:vMerge/>
            <w:tcBorders>
              <w:top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0"/>
              <w:rPr>
                <w:rFonts w:ascii="Arial" w:hAnsi="Arial" w:cs="Arial"/>
                <w:sz w:val="22"/>
                <w:szCs w:val="22"/>
              </w:rPr>
            </w:pPr>
          </w:p>
        </w:tc>
        <w:tc>
          <w:tcPr>
            <w:tcW w:w="2324"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Experiment Group</w:t>
            </w:r>
          </w:p>
        </w:tc>
        <w:tc>
          <w:tcPr>
            <w:tcW w:w="1314"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42</w:t>
            </w:r>
          </w:p>
        </w:tc>
        <w:tc>
          <w:tcPr>
            <w:tcW w:w="1637"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22258.7619</w:t>
            </w:r>
          </w:p>
        </w:tc>
        <w:tc>
          <w:tcPr>
            <w:tcW w:w="186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8896.90632</w:t>
            </w:r>
          </w:p>
        </w:tc>
        <w:tc>
          <w:tcPr>
            <w:tcW w:w="5372" w:type="dxa"/>
            <w:tcBorders>
              <w:top w:val="single" w:sz="8" w:space="0" w:color="6D6D6D"/>
              <w:left w:val="single" w:sz="8" w:space="0" w:color="6D6D6D"/>
              <w:bottom w:val="single" w:sz="8" w:space="0" w:color="6D6D6D"/>
            </w:tcBorders>
            <w:shd w:val="clear" w:color="auto" w:fill="FFFFFF"/>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1372.82245</w:t>
            </w:r>
          </w:p>
        </w:tc>
      </w:tr>
    </w:tbl>
    <w:p w:rsidR="006903FD" w:rsidRPr="006903FD" w:rsidRDefault="006903FD" w:rsidP="006903FD">
      <w:pPr>
        <w:widowControl w:val="0"/>
        <w:autoSpaceDE w:val="0"/>
        <w:autoSpaceDN w:val="0"/>
        <w:adjustRightInd w:val="0"/>
        <w:spacing w:after="0"/>
        <w:rPr>
          <w:rFonts w:ascii="Arial" w:hAnsi="Arial" w:cs="Arial"/>
          <w:b/>
          <w:bCs/>
          <w:sz w:val="22"/>
          <w:szCs w:val="22"/>
        </w:rPr>
      </w:pPr>
    </w:p>
    <w:p w:rsidR="006903FD" w:rsidRPr="006903FD" w:rsidRDefault="006903FD" w:rsidP="006903FD">
      <w:pPr>
        <w:widowControl w:val="0"/>
        <w:autoSpaceDE w:val="0"/>
        <w:autoSpaceDN w:val="0"/>
        <w:adjustRightInd w:val="0"/>
        <w:spacing w:after="0"/>
        <w:rPr>
          <w:rFonts w:ascii="Arial" w:hAnsi="Arial" w:cs="Arial"/>
          <w:b/>
          <w:bCs/>
          <w:sz w:val="22"/>
          <w:szCs w:val="22"/>
        </w:rPr>
      </w:pPr>
    </w:p>
    <w:tbl>
      <w:tblPr>
        <w:tblW w:w="21340" w:type="dxa"/>
        <w:tblBorders>
          <w:top w:val="single" w:sz="8" w:space="0" w:color="6D6D6D"/>
          <w:left w:val="single" w:sz="8" w:space="0" w:color="6D6D6D"/>
          <w:right w:val="single" w:sz="8" w:space="0" w:color="6D6D6D"/>
        </w:tblBorders>
        <w:tblLayout w:type="fixed"/>
        <w:tblLook w:val="0000"/>
      </w:tblPr>
      <w:tblGrid>
        <w:gridCol w:w="1548"/>
        <w:gridCol w:w="2790"/>
        <w:gridCol w:w="1350"/>
        <w:gridCol w:w="1350"/>
        <w:gridCol w:w="1350"/>
        <w:gridCol w:w="1170"/>
        <w:gridCol w:w="1260"/>
        <w:gridCol w:w="4246"/>
        <w:gridCol w:w="1871"/>
        <w:gridCol w:w="1871"/>
        <w:gridCol w:w="2534"/>
      </w:tblGrid>
      <w:tr w:rsidR="006903FD" w:rsidRPr="006903FD">
        <w:tblPrEx>
          <w:tblCellMar>
            <w:top w:w="0" w:type="dxa"/>
            <w:bottom w:w="0" w:type="dxa"/>
          </w:tblCellMar>
        </w:tblPrEx>
        <w:tc>
          <w:tcPr>
            <w:tcW w:w="21340" w:type="dxa"/>
            <w:gridSpan w:val="11"/>
            <w:tcBorders>
              <w:top w:val="single" w:sz="8" w:space="0" w:color="6D6D6D"/>
              <w:bottom w:val="single" w:sz="8" w:space="0" w:color="6D6D6D"/>
            </w:tcBorders>
            <w:shd w:val="clear" w:color="auto" w:fill="FFFFFF"/>
            <w:vAlign w:val="center"/>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b/>
                <w:bCs/>
                <w:sz w:val="20"/>
                <w:szCs w:val="20"/>
              </w:rPr>
              <w:t>Independent Samples Test</w:t>
            </w:r>
          </w:p>
        </w:tc>
      </w:tr>
      <w:tr w:rsidR="006903FD" w:rsidRPr="006903FD">
        <w:tblPrEx>
          <w:tblBorders>
            <w:top w:val="none" w:sz="0" w:space="0" w:color="auto"/>
          </w:tblBorders>
          <w:tblCellMar>
            <w:top w:w="0" w:type="dxa"/>
            <w:bottom w:w="0" w:type="dxa"/>
          </w:tblCellMar>
        </w:tblPrEx>
        <w:tc>
          <w:tcPr>
            <w:tcW w:w="4338" w:type="dxa"/>
            <w:gridSpan w:val="2"/>
            <w:vMerge w:val="restart"/>
            <w:tcBorders>
              <w:top w:val="single" w:sz="8" w:space="0" w:color="6D6D6D"/>
              <w:bottom w:val="single" w:sz="8" w:space="0" w:color="6D6D6D"/>
              <w:right w:val="single" w:sz="8" w:space="0" w:color="6D6D6D"/>
            </w:tcBorders>
            <w:shd w:val="clear" w:color="auto" w:fill="FFFFFF"/>
            <w:vAlign w:val="center"/>
          </w:tcPr>
          <w:p w:rsidR="006903FD" w:rsidRPr="006903FD" w:rsidRDefault="006903FD" w:rsidP="006903FD">
            <w:pPr>
              <w:widowControl w:val="0"/>
              <w:autoSpaceDE w:val="0"/>
              <w:autoSpaceDN w:val="0"/>
              <w:adjustRightInd w:val="0"/>
              <w:spacing w:after="0"/>
              <w:rPr>
                <w:rFonts w:ascii="Arial" w:hAnsi="Arial" w:cs="Arial"/>
                <w:sz w:val="22"/>
                <w:szCs w:val="22"/>
              </w:rPr>
            </w:pPr>
            <w:r w:rsidRPr="006903FD">
              <w:rPr>
                <w:rFonts w:ascii="ヒラギノ明朝 ProN W3" w:eastAsia="ヒラギノ明朝 ProN W3" w:hAnsi="ヒラギノ明朝 ProN W3" w:cs="ヒラギノ明朝 ProN W3" w:hint="eastAsia"/>
                <w:sz w:val="22"/>
                <w:szCs w:val="22"/>
              </w:rPr>
              <w:t xml:space="preserve">　</w:t>
            </w:r>
          </w:p>
        </w:tc>
        <w:tc>
          <w:tcPr>
            <w:tcW w:w="2700" w:type="dxa"/>
            <w:gridSpan w:val="2"/>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proofErr w:type="spellStart"/>
            <w:r w:rsidRPr="006903FD">
              <w:rPr>
                <w:rFonts w:ascii="Arial" w:hAnsi="Arial" w:cs="Arial"/>
                <w:sz w:val="20"/>
                <w:szCs w:val="20"/>
              </w:rPr>
              <w:t>Levene's</w:t>
            </w:r>
            <w:proofErr w:type="spellEnd"/>
            <w:r w:rsidRPr="006903FD">
              <w:rPr>
                <w:rFonts w:ascii="Arial" w:hAnsi="Arial" w:cs="Arial"/>
                <w:sz w:val="20"/>
                <w:szCs w:val="20"/>
              </w:rPr>
              <w:t xml:space="preserve"> Test for Equality of Variances</w:t>
            </w:r>
          </w:p>
        </w:tc>
        <w:tc>
          <w:tcPr>
            <w:tcW w:w="14302" w:type="dxa"/>
            <w:gridSpan w:val="7"/>
            <w:tcBorders>
              <w:top w:val="single" w:sz="8" w:space="0" w:color="6D6D6D"/>
              <w:left w:val="single" w:sz="8" w:space="0" w:color="6D6D6D"/>
              <w:bottom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proofErr w:type="gramStart"/>
            <w:r w:rsidRPr="006903FD">
              <w:rPr>
                <w:rFonts w:ascii="Arial" w:hAnsi="Arial" w:cs="Arial"/>
                <w:sz w:val="20"/>
                <w:szCs w:val="20"/>
              </w:rPr>
              <w:t>t</w:t>
            </w:r>
            <w:proofErr w:type="gramEnd"/>
            <w:r w:rsidRPr="006903FD">
              <w:rPr>
                <w:rFonts w:ascii="Arial" w:hAnsi="Arial" w:cs="Arial"/>
                <w:sz w:val="20"/>
                <w:szCs w:val="20"/>
              </w:rPr>
              <w:t>-test for Equality of Means</w:t>
            </w:r>
          </w:p>
        </w:tc>
      </w:tr>
      <w:tr w:rsidR="006903FD" w:rsidRPr="006903FD">
        <w:tblPrEx>
          <w:tblBorders>
            <w:top w:val="none" w:sz="0" w:space="0" w:color="auto"/>
          </w:tblBorders>
          <w:tblCellMar>
            <w:top w:w="0" w:type="dxa"/>
            <w:bottom w:w="0" w:type="dxa"/>
          </w:tblCellMar>
        </w:tblPrEx>
        <w:tc>
          <w:tcPr>
            <w:tcW w:w="4338" w:type="dxa"/>
            <w:gridSpan w:val="2"/>
            <w:vMerge/>
            <w:tcBorders>
              <w:top w:val="single" w:sz="8" w:space="0" w:color="6D6D6D"/>
              <w:bottom w:val="single" w:sz="8" w:space="0" w:color="6D6D6D"/>
              <w:right w:val="single" w:sz="8" w:space="0" w:color="6D6D6D"/>
            </w:tcBorders>
            <w:shd w:val="clear" w:color="auto" w:fill="FFFFFF"/>
            <w:vAlign w:val="center"/>
          </w:tcPr>
          <w:p w:rsidR="006903FD" w:rsidRPr="006903FD" w:rsidRDefault="006903FD" w:rsidP="006903FD">
            <w:pPr>
              <w:widowControl w:val="0"/>
              <w:autoSpaceDE w:val="0"/>
              <w:autoSpaceDN w:val="0"/>
              <w:adjustRightInd w:val="0"/>
              <w:spacing w:after="0"/>
              <w:rPr>
                <w:rFonts w:ascii="Arial" w:hAnsi="Arial" w:cs="Arial"/>
                <w:sz w:val="22"/>
                <w:szCs w:val="22"/>
              </w:rPr>
            </w:pPr>
          </w:p>
        </w:tc>
        <w:tc>
          <w:tcPr>
            <w:tcW w:w="1350" w:type="dxa"/>
            <w:vMerge w:val="restart"/>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sz w:val="20"/>
                <w:szCs w:val="20"/>
              </w:rPr>
              <w:t>F</w:t>
            </w:r>
          </w:p>
        </w:tc>
        <w:tc>
          <w:tcPr>
            <w:tcW w:w="1350" w:type="dxa"/>
            <w:vMerge w:val="restart"/>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sz w:val="20"/>
                <w:szCs w:val="20"/>
              </w:rPr>
              <w:t>Sig.</w:t>
            </w:r>
          </w:p>
        </w:tc>
        <w:tc>
          <w:tcPr>
            <w:tcW w:w="1350" w:type="dxa"/>
            <w:vMerge w:val="restart"/>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proofErr w:type="gramStart"/>
            <w:r w:rsidRPr="006903FD">
              <w:rPr>
                <w:rFonts w:ascii="Arial" w:hAnsi="Arial" w:cs="Arial"/>
                <w:sz w:val="20"/>
                <w:szCs w:val="20"/>
              </w:rPr>
              <w:t>t</w:t>
            </w:r>
            <w:proofErr w:type="gramEnd"/>
          </w:p>
        </w:tc>
        <w:tc>
          <w:tcPr>
            <w:tcW w:w="1170" w:type="dxa"/>
            <w:vMerge w:val="restart"/>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proofErr w:type="spellStart"/>
            <w:proofErr w:type="gramStart"/>
            <w:r w:rsidRPr="006903FD">
              <w:rPr>
                <w:rFonts w:ascii="Arial" w:hAnsi="Arial" w:cs="Arial"/>
                <w:sz w:val="20"/>
                <w:szCs w:val="20"/>
              </w:rPr>
              <w:t>df</w:t>
            </w:r>
            <w:proofErr w:type="spellEnd"/>
            <w:proofErr w:type="gramEnd"/>
          </w:p>
        </w:tc>
        <w:tc>
          <w:tcPr>
            <w:tcW w:w="1260" w:type="dxa"/>
            <w:vMerge w:val="restart"/>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sz w:val="20"/>
                <w:szCs w:val="20"/>
              </w:rPr>
              <w:t>Sig. (2-tailed)</w:t>
            </w:r>
          </w:p>
        </w:tc>
        <w:tc>
          <w:tcPr>
            <w:tcW w:w="4246" w:type="dxa"/>
            <w:vMerge w:val="restart"/>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Mean Difference</w:t>
            </w:r>
          </w:p>
        </w:tc>
        <w:tc>
          <w:tcPr>
            <w:tcW w:w="1871" w:type="dxa"/>
            <w:vMerge w:val="restart"/>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sz w:val="20"/>
                <w:szCs w:val="20"/>
              </w:rPr>
              <w:t>Std. Error Difference</w:t>
            </w:r>
          </w:p>
        </w:tc>
        <w:tc>
          <w:tcPr>
            <w:tcW w:w="4405" w:type="dxa"/>
            <w:gridSpan w:val="2"/>
            <w:tcBorders>
              <w:top w:val="single" w:sz="8" w:space="0" w:color="6D6D6D"/>
              <w:left w:val="single" w:sz="8" w:space="0" w:color="6D6D6D"/>
              <w:bottom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sz w:val="20"/>
                <w:szCs w:val="20"/>
              </w:rPr>
              <w:t>95% Confidence Interval of the Difference</w:t>
            </w:r>
          </w:p>
        </w:tc>
      </w:tr>
      <w:tr w:rsidR="006903FD" w:rsidRPr="006903FD">
        <w:tblPrEx>
          <w:tblBorders>
            <w:top w:val="none" w:sz="0" w:space="0" w:color="auto"/>
          </w:tblBorders>
          <w:tblCellMar>
            <w:top w:w="0" w:type="dxa"/>
            <w:bottom w:w="0" w:type="dxa"/>
          </w:tblCellMar>
        </w:tblPrEx>
        <w:tc>
          <w:tcPr>
            <w:tcW w:w="4338" w:type="dxa"/>
            <w:gridSpan w:val="2"/>
            <w:vMerge/>
            <w:tcBorders>
              <w:top w:val="single" w:sz="8" w:space="0" w:color="6D6D6D"/>
              <w:bottom w:val="single" w:sz="8" w:space="0" w:color="6D6D6D"/>
              <w:right w:val="single" w:sz="8" w:space="0" w:color="6D6D6D"/>
            </w:tcBorders>
            <w:shd w:val="clear" w:color="auto" w:fill="FFFFFF"/>
            <w:vAlign w:val="center"/>
          </w:tcPr>
          <w:p w:rsidR="006903FD" w:rsidRPr="006903FD" w:rsidRDefault="006903FD" w:rsidP="006903FD">
            <w:pPr>
              <w:widowControl w:val="0"/>
              <w:autoSpaceDE w:val="0"/>
              <w:autoSpaceDN w:val="0"/>
              <w:adjustRightInd w:val="0"/>
              <w:spacing w:after="0"/>
              <w:rPr>
                <w:rFonts w:ascii="Arial" w:hAnsi="Arial" w:cs="Arial"/>
                <w:sz w:val="22"/>
                <w:szCs w:val="22"/>
              </w:rPr>
            </w:pPr>
          </w:p>
        </w:tc>
        <w:tc>
          <w:tcPr>
            <w:tcW w:w="1350" w:type="dxa"/>
            <w:vMerge/>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0"/>
              <w:rPr>
                <w:rFonts w:ascii="Arial" w:hAnsi="Arial" w:cs="Arial"/>
                <w:sz w:val="22"/>
                <w:szCs w:val="22"/>
              </w:rPr>
            </w:pPr>
          </w:p>
        </w:tc>
        <w:tc>
          <w:tcPr>
            <w:tcW w:w="1350" w:type="dxa"/>
            <w:vMerge/>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0"/>
              <w:rPr>
                <w:rFonts w:ascii="Arial" w:hAnsi="Arial" w:cs="Arial"/>
                <w:sz w:val="22"/>
                <w:szCs w:val="22"/>
              </w:rPr>
            </w:pPr>
          </w:p>
        </w:tc>
        <w:tc>
          <w:tcPr>
            <w:tcW w:w="1350" w:type="dxa"/>
            <w:vMerge/>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0"/>
              <w:rPr>
                <w:rFonts w:ascii="Arial" w:hAnsi="Arial" w:cs="Arial"/>
                <w:sz w:val="22"/>
                <w:szCs w:val="22"/>
              </w:rPr>
            </w:pPr>
          </w:p>
        </w:tc>
        <w:tc>
          <w:tcPr>
            <w:tcW w:w="1170" w:type="dxa"/>
            <w:vMerge/>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0"/>
              <w:rPr>
                <w:rFonts w:ascii="Arial" w:hAnsi="Arial" w:cs="Arial"/>
                <w:sz w:val="22"/>
                <w:szCs w:val="22"/>
              </w:rPr>
            </w:pPr>
          </w:p>
        </w:tc>
        <w:tc>
          <w:tcPr>
            <w:tcW w:w="1260" w:type="dxa"/>
            <w:vMerge/>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0"/>
              <w:rPr>
                <w:rFonts w:ascii="Arial" w:hAnsi="Arial" w:cs="Arial"/>
                <w:sz w:val="22"/>
                <w:szCs w:val="22"/>
              </w:rPr>
            </w:pPr>
          </w:p>
        </w:tc>
        <w:tc>
          <w:tcPr>
            <w:tcW w:w="4246" w:type="dxa"/>
            <w:vMerge/>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0"/>
              <w:rPr>
                <w:rFonts w:ascii="Arial" w:hAnsi="Arial" w:cs="Arial"/>
                <w:sz w:val="22"/>
                <w:szCs w:val="22"/>
              </w:rPr>
            </w:pPr>
          </w:p>
        </w:tc>
        <w:tc>
          <w:tcPr>
            <w:tcW w:w="1871" w:type="dxa"/>
            <w:vMerge/>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0"/>
              <w:rPr>
                <w:rFonts w:ascii="Arial" w:hAnsi="Arial" w:cs="Arial"/>
                <w:sz w:val="22"/>
                <w:szCs w:val="22"/>
              </w:rPr>
            </w:pPr>
          </w:p>
        </w:tc>
        <w:tc>
          <w:tcPr>
            <w:tcW w:w="1871" w:type="dxa"/>
            <w:tcBorders>
              <w:top w:val="single" w:sz="8" w:space="0" w:color="6D6D6D"/>
              <w:left w:val="single" w:sz="8" w:space="0" w:color="6D6D6D"/>
              <w:bottom w:val="single" w:sz="8" w:space="0" w:color="6D6D6D"/>
              <w:right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sz w:val="20"/>
                <w:szCs w:val="20"/>
              </w:rPr>
              <w:t>Lower</w:t>
            </w:r>
          </w:p>
        </w:tc>
        <w:tc>
          <w:tcPr>
            <w:tcW w:w="2534" w:type="dxa"/>
            <w:tcBorders>
              <w:top w:val="single" w:sz="8" w:space="0" w:color="6D6D6D"/>
              <w:left w:val="single" w:sz="8" w:space="0" w:color="6D6D6D"/>
              <w:bottom w:val="single" w:sz="8" w:space="0" w:color="6D6D6D"/>
            </w:tcBorders>
            <w:shd w:val="clear" w:color="auto" w:fill="FFFFFF"/>
            <w:vAlign w:val="bottom"/>
          </w:tcPr>
          <w:p w:rsidR="006903FD" w:rsidRPr="006903FD" w:rsidRDefault="006903FD" w:rsidP="006903FD">
            <w:pPr>
              <w:widowControl w:val="0"/>
              <w:autoSpaceDE w:val="0"/>
              <w:autoSpaceDN w:val="0"/>
              <w:adjustRightInd w:val="0"/>
              <w:spacing w:after="220"/>
              <w:jc w:val="center"/>
              <w:rPr>
                <w:rFonts w:ascii="Arial" w:hAnsi="Arial" w:cs="Arial"/>
                <w:sz w:val="22"/>
                <w:szCs w:val="22"/>
              </w:rPr>
            </w:pPr>
            <w:r w:rsidRPr="006903FD">
              <w:rPr>
                <w:rFonts w:ascii="Arial" w:hAnsi="Arial" w:cs="Arial"/>
                <w:sz w:val="20"/>
                <w:szCs w:val="20"/>
              </w:rPr>
              <w:t>Upper</w:t>
            </w:r>
          </w:p>
        </w:tc>
      </w:tr>
      <w:tr w:rsidR="006903FD" w:rsidRPr="006903FD">
        <w:tblPrEx>
          <w:tblBorders>
            <w:top w:val="none" w:sz="0" w:space="0" w:color="auto"/>
          </w:tblBorders>
          <w:tblCellMar>
            <w:top w:w="0" w:type="dxa"/>
            <w:bottom w:w="0" w:type="dxa"/>
          </w:tblCellMar>
        </w:tblPrEx>
        <w:tc>
          <w:tcPr>
            <w:tcW w:w="1548" w:type="dxa"/>
            <w:vMerge w:val="restart"/>
            <w:tcBorders>
              <w:top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Annual Income</w:t>
            </w:r>
          </w:p>
        </w:tc>
        <w:tc>
          <w:tcPr>
            <w:tcW w:w="279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Equal variances assumed</w:t>
            </w:r>
          </w:p>
        </w:tc>
        <w:tc>
          <w:tcPr>
            <w:tcW w:w="135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1.563</w:t>
            </w:r>
          </w:p>
        </w:tc>
        <w:tc>
          <w:tcPr>
            <w:tcW w:w="135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.215</w:t>
            </w:r>
          </w:p>
        </w:tc>
        <w:tc>
          <w:tcPr>
            <w:tcW w:w="135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-.678</w:t>
            </w:r>
          </w:p>
        </w:tc>
        <w:tc>
          <w:tcPr>
            <w:tcW w:w="117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82</w:t>
            </w:r>
          </w:p>
        </w:tc>
        <w:tc>
          <w:tcPr>
            <w:tcW w:w="126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.500</w:t>
            </w:r>
          </w:p>
        </w:tc>
        <w:tc>
          <w:tcPr>
            <w:tcW w:w="4246"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-1445.04762</w:t>
            </w:r>
          </w:p>
        </w:tc>
        <w:tc>
          <w:tcPr>
            <w:tcW w:w="1871"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2132.88477</w:t>
            </w:r>
          </w:p>
        </w:tc>
        <w:tc>
          <w:tcPr>
            <w:tcW w:w="1871"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-5688.03487</w:t>
            </w:r>
          </w:p>
        </w:tc>
        <w:tc>
          <w:tcPr>
            <w:tcW w:w="2534" w:type="dxa"/>
            <w:tcBorders>
              <w:top w:val="single" w:sz="8" w:space="0" w:color="6D6D6D"/>
              <w:left w:val="single" w:sz="8" w:space="0" w:color="6D6D6D"/>
              <w:bottom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2797.93964</w:t>
            </w:r>
          </w:p>
        </w:tc>
      </w:tr>
      <w:tr w:rsidR="006903FD" w:rsidRPr="006903FD">
        <w:tblPrEx>
          <w:tblBorders>
            <w:top w:val="none" w:sz="0" w:space="0" w:color="auto"/>
            <w:bottom w:val="single" w:sz="8" w:space="0" w:color="6D6D6D"/>
          </w:tblBorders>
          <w:tblCellMar>
            <w:top w:w="0" w:type="dxa"/>
            <w:bottom w:w="0" w:type="dxa"/>
          </w:tblCellMar>
        </w:tblPrEx>
        <w:tc>
          <w:tcPr>
            <w:tcW w:w="1548" w:type="dxa"/>
            <w:vMerge/>
            <w:tcBorders>
              <w:top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0"/>
              <w:rPr>
                <w:rFonts w:ascii="Arial" w:hAnsi="Arial" w:cs="Arial"/>
                <w:sz w:val="22"/>
                <w:szCs w:val="22"/>
              </w:rPr>
            </w:pPr>
          </w:p>
        </w:tc>
        <w:tc>
          <w:tcPr>
            <w:tcW w:w="279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Equal variances not assumed</w:t>
            </w:r>
          </w:p>
        </w:tc>
        <w:tc>
          <w:tcPr>
            <w:tcW w:w="1350" w:type="dxa"/>
            <w:tcBorders>
              <w:top w:val="single" w:sz="8" w:space="0" w:color="6D6D6D"/>
              <w:left w:val="single" w:sz="8" w:space="0" w:color="6D6D6D"/>
              <w:bottom w:val="single" w:sz="8" w:space="0" w:color="6D6D6D"/>
              <w:right w:val="single" w:sz="8" w:space="0" w:color="6D6D6D"/>
            </w:tcBorders>
            <w:shd w:val="clear" w:color="auto" w:fill="FFFFFF"/>
            <w:vAlign w:val="center"/>
          </w:tcPr>
          <w:p w:rsidR="006903FD" w:rsidRPr="006903FD" w:rsidRDefault="006903FD" w:rsidP="006903FD">
            <w:pPr>
              <w:widowControl w:val="0"/>
              <w:autoSpaceDE w:val="0"/>
              <w:autoSpaceDN w:val="0"/>
              <w:adjustRightInd w:val="0"/>
              <w:spacing w:after="0"/>
              <w:rPr>
                <w:rFonts w:ascii="Arial" w:hAnsi="Arial" w:cs="Arial"/>
                <w:sz w:val="22"/>
                <w:szCs w:val="22"/>
              </w:rPr>
            </w:pPr>
            <w:r w:rsidRPr="006903FD">
              <w:rPr>
                <w:rFonts w:ascii="ヒラギノ明朝 ProN W3" w:eastAsia="ヒラギノ明朝 ProN W3" w:hAnsi="ヒラギノ明朝 ProN W3" w:cs="ヒラギノ明朝 ProN W3" w:hint="eastAsia"/>
                <w:sz w:val="22"/>
                <w:szCs w:val="22"/>
              </w:rPr>
              <w:t xml:space="preserve">　</w:t>
            </w:r>
          </w:p>
        </w:tc>
        <w:tc>
          <w:tcPr>
            <w:tcW w:w="1350" w:type="dxa"/>
            <w:tcBorders>
              <w:top w:val="single" w:sz="8" w:space="0" w:color="6D6D6D"/>
              <w:left w:val="single" w:sz="8" w:space="0" w:color="6D6D6D"/>
              <w:bottom w:val="single" w:sz="8" w:space="0" w:color="6D6D6D"/>
              <w:right w:val="single" w:sz="8" w:space="0" w:color="6D6D6D"/>
            </w:tcBorders>
            <w:shd w:val="clear" w:color="auto" w:fill="FFFFFF"/>
            <w:vAlign w:val="center"/>
          </w:tcPr>
          <w:p w:rsidR="006903FD" w:rsidRPr="006903FD" w:rsidRDefault="006903FD" w:rsidP="006903FD">
            <w:pPr>
              <w:widowControl w:val="0"/>
              <w:autoSpaceDE w:val="0"/>
              <w:autoSpaceDN w:val="0"/>
              <w:adjustRightInd w:val="0"/>
              <w:spacing w:after="0"/>
              <w:rPr>
                <w:rFonts w:ascii="Arial" w:hAnsi="Arial" w:cs="Arial"/>
                <w:sz w:val="22"/>
                <w:szCs w:val="22"/>
              </w:rPr>
            </w:pPr>
            <w:r w:rsidRPr="006903FD">
              <w:rPr>
                <w:rFonts w:ascii="ヒラギノ明朝 ProN W3" w:eastAsia="ヒラギノ明朝 ProN W3" w:hAnsi="ヒラギノ明朝 ProN W3" w:cs="ヒラギノ明朝 ProN W3" w:hint="eastAsia"/>
                <w:sz w:val="22"/>
                <w:szCs w:val="22"/>
              </w:rPr>
              <w:t xml:space="preserve">　</w:t>
            </w:r>
          </w:p>
        </w:tc>
        <w:tc>
          <w:tcPr>
            <w:tcW w:w="135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-.678</w:t>
            </w:r>
          </w:p>
        </w:tc>
        <w:tc>
          <w:tcPr>
            <w:tcW w:w="117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79.659</w:t>
            </w:r>
          </w:p>
        </w:tc>
        <w:tc>
          <w:tcPr>
            <w:tcW w:w="126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.500</w:t>
            </w:r>
          </w:p>
        </w:tc>
        <w:tc>
          <w:tcPr>
            <w:tcW w:w="4246"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rPr>
                <w:rFonts w:ascii="Arial" w:hAnsi="Arial" w:cs="Arial"/>
                <w:sz w:val="22"/>
                <w:szCs w:val="22"/>
              </w:rPr>
            </w:pPr>
            <w:r w:rsidRPr="006903FD">
              <w:rPr>
                <w:rFonts w:ascii="Arial" w:hAnsi="Arial" w:cs="Arial"/>
                <w:sz w:val="20"/>
                <w:szCs w:val="20"/>
              </w:rPr>
              <w:t>-1445.04762</w:t>
            </w:r>
          </w:p>
        </w:tc>
        <w:tc>
          <w:tcPr>
            <w:tcW w:w="1871"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2132.88477</w:t>
            </w:r>
          </w:p>
        </w:tc>
        <w:tc>
          <w:tcPr>
            <w:tcW w:w="1871"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-5689.90279</w:t>
            </w:r>
          </w:p>
        </w:tc>
        <w:tc>
          <w:tcPr>
            <w:tcW w:w="2534" w:type="dxa"/>
            <w:tcBorders>
              <w:top w:val="single" w:sz="8" w:space="0" w:color="6D6D6D"/>
              <w:left w:val="single" w:sz="8" w:space="0" w:color="6D6D6D"/>
              <w:bottom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2799.80755</w:t>
            </w:r>
          </w:p>
        </w:tc>
      </w:tr>
    </w:tbl>
    <w:p w:rsidR="006903FD" w:rsidRPr="006903FD" w:rsidRDefault="006903FD" w:rsidP="006903FD">
      <w:pPr>
        <w:widowControl w:val="0"/>
        <w:autoSpaceDE w:val="0"/>
        <w:autoSpaceDN w:val="0"/>
        <w:adjustRightInd w:val="0"/>
        <w:spacing w:after="0"/>
        <w:rPr>
          <w:rFonts w:ascii="Arial" w:hAnsi="Arial" w:cs="Arial"/>
          <w:sz w:val="22"/>
          <w:szCs w:val="22"/>
        </w:rPr>
      </w:pPr>
    </w:p>
    <w:p w:rsidR="006903FD" w:rsidRDefault="006903FD" w:rsidP="006903FD">
      <w:pPr>
        <w:rPr>
          <w:rFonts w:ascii="Arial" w:hAnsi="Arial" w:cs="Arial"/>
          <w:sz w:val="22"/>
          <w:szCs w:val="22"/>
        </w:rPr>
      </w:pPr>
      <w:r w:rsidRPr="006903FD">
        <w:rPr>
          <w:rFonts w:ascii="Arial" w:hAnsi="Arial" w:cs="Arial"/>
          <w:sz w:val="22"/>
          <w:szCs w:val="22"/>
        </w:rPr>
        <w:t>I hope it works for you as well. I just have to do the others. Good night!</w:t>
      </w:r>
    </w:p>
    <w:p w:rsidR="006903FD" w:rsidRDefault="006903FD" w:rsidP="006903FD">
      <w:pPr>
        <w:rPr>
          <w:rFonts w:ascii="Arial" w:hAnsi="Arial" w:cs="Arial"/>
          <w:sz w:val="22"/>
          <w:szCs w:val="22"/>
        </w:rPr>
      </w:pPr>
      <w:r>
        <w:rPr>
          <w:rFonts w:ascii="Arial" w:hAnsi="Arial" w:cs="Arial"/>
          <w:sz w:val="22"/>
          <w:szCs w:val="22"/>
        </w:rPr>
        <w:t xml:space="preserve">Mean difference     Std error diff         95% Confidence Interval of the difference last 2 columns    </w:t>
      </w:r>
    </w:p>
    <w:tbl>
      <w:tblPr>
        <w:tblW w:w="0" w:type="auto"/>
        <w:tblBorders>
          <w:top w:val="nil"/>
          <w:left w:val="nil"/>
          <w:right w:val="nil"/>
        </w:tblBorders>
        <w:tblLayout w:type="fixed"/>
        <w:tblLook w:val="0000"/>
      </w:tblPr>
      <w:tblGrid>
        <w:gridCol w:w="1860"/>
        <w:gridCol w:w="1860"/>
        <w:gridCol w:w="1860"/>
        <w:gridCol w:w="1880"/>
      </w:tblGrid>
      <w:tr w:rsidR="006903FD" w:rsidRPr="006903FD">
        <w:tblPrEx>
          <w:tblCellMar>
            <w:top w:w="0" w:type="dxa"/>
            <w:bottom w:w="0" w:type="dxa"/>
          </w:tblCellMar>
        </w:tblPrEx>
        <w:tc>
          <w:tcPr>
            <w:tcW w:w="186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-1445.04762</w:t>
            </w:r>
          </w:p>
        </w:tc>
        <w:tc>
          <w:tcPr>
            <w:tcW w:w="186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2132.88477</w:t>
            </w:r>
          </w:p>
        </w:tc>
        <w:tc>
          <w:tcPr>
            <w:tcW w:w="186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-5688.03487</w:t>
            </w:r>
          </w:p>
        </w:tc>
        <w:tc>
          <w:tcPr>
            <w:tcW w:w="188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0"/>
                <w:szCs w:val="20"/>
              </w:rPr>
            </w:pPr>
            <w:r w:rsidRPr="006903FD">
              <w:rPr>
                <w:rFonts w:ascii="Arial" w:hAnsi="Arial" w:cs="Arial"/>
                <w:sz w:val="20"/>
                <w:szCs w:val="20"/>
              </w:rPr>
              <w:t>2797.93964</w:t>
            </w:r>
          </w:p>
        </w:tc>
      </w:tr>
    </w:tbl>
    <w:p w:rsidR="006903FD" w:rsidRDefault="006903FD" w:rsidP="006903FD"/>
    <w:tbl>
      <w:tblPr>
        <w:tblW w:w="0" w:type="auto"/>
        <w:tblBorders>
          <w:top w:val="nil"/>
          <w:left w:val="nil"/>
          <w:right w:val="nil"/>
        </w:tblBorders>
        <w:tblLayout w:type="fixed"/>
        <w:tblLook w:val="0000"/>
      </w:tblPr>
      <w:tblGrid>
        <w:gridCol w:w="1860"/>
        <w:gridCol w:w="1860"/>
        <w:gridCol w:w="1860"/>
        <w:gridCol w:w="1880"/>
      </w:tblGrid>
      <w:tr w:rsidR="006903FD" w:rsidRPr="006903FD">
        <w:tblPrEx>
          <w:tblCellMar>
            <w:top w:w="0" w:type="dxa"/>
            <w:bottom w:w="0" w:type="dxa"/>
          </w:tblCellMar>
        </w:tblPrEx>
        <w:tc>
          <w:tcPr>
            <w:tcW w:w="186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1445.04762</w:t>
            </w:r>
          </w:p>
        </w:tc>
        <w:tc>
          <w:tcPr>
            <w:tcW w:w="186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2132.88477</w:t>
            </w:r>
          </w:p>
        </w:tc>
        <w:tc>
          <w:tcPr>
            <w:tcW w:w="186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2"/>
                <w:szCs w:val="22"/>
              </w:rPr>
            </w:pPr>
            <w:r w:rsidRPr="006903FD">
              <w:rPr>
                <w:rFonts w:ascii="Arial" w:hAnsi="Arial" w:cs="Arial"/>
                <w:sz w:val="20"/>
                <w:szCs w:val="20"/>
              </w:rPr>
              <w:t>-5689.90279</w:t>
            </w:r>
          </w:p>
        </w:tc>
        <w:tc>
          <w:tcPr>
            <w:tcW w:w="1880" w:type="dxa"/>
            <w:tcBorders>
              <w:top w:val="single" w:sz="8" w:space="0" w:color="6D6D6D"/>
              <w:left w:val="single" w:sz="8" w:space="0" w:color="6D6D6D"/>
              <w:bottom w:val="single" w:sz="8" w:space="0" w:color="6D6D6D"/>
              <w:right w:val="single" w:sz="8" w:space="0" w:color="6D6D6D"/>
            </w:tcBorders>
            <w:shd w:val="clear" w:color="auto" w:fill="FFFFFF"/>
          </w:tcPr>
          <w:p w:rsidR="006903FD" w:rsidRPr="006903FD" w:rsidRDefault="006903FD" w:rsidP="006903FD">
            <w:pPr>
              <w:widowControl w:val="0"/>
              <w:autoSpaceDE w:val="0"/>
              <w:autoSpaceDN w:val="0"/>
              <w:adjustRightInd w:val="0"/>
              <w:spacing w:after="220"/>
              <w:jc w:val="right"/>
              <w:rPr>
                <w:rFonts w:ascii="Arial" w:hAnsi="Arial" w:cs="Arial"/>
                <w:sz w:val="20"/>
                <w:szCs w:val="20"/>
              </w:rPr>
            </w:pPr>
            <w:r w:rsidRPr="006903FD">
              <w:rPr>
                <w:rFonts w:ascii="Arial" w:hAnsi="Arial" w:cs="Arial"/>
                <w:sz w:val="20"/>
                <w:szCs w:val="20"/>
              </w:rPr>
              <w:t>2799.80755</w:t>
            </w:r>
          </w:p>
        </w:tc>
      </w:tr>
    </w:tbl>
    <w:p w:rsidR="00EE107E" w:rsidRDefault="00EE107E" w:rsidP="006903FD"/>
    <w:p w:rsidR="00EE107E" w:rsidRDefault="00EE107E" w:rsidP="00EE107E">
      <w:pPr>
        <w:rPr>
          <w:rFonts w:ascii="Garamond" w:hAnsi="Garamond"/>
        </w:rPr>
      </w:pPr>
      <w:r>
        <w:rPr>
          <w:rFonts w:ascii="Garamond" w:hAnsi="Garamond"/>
        </w:rPr>
        <w:t xml:space="preserve">In order to promote the habit of saving among low-income households, United Way of Greater Los Angeles conducted a pilot study in 2007 to determine the effectiveness of high-interest savings accounts by randomly selecting two groups of low-income savers. In this pilot, both groups were offered incentives to save every month, but one of the groups, (the experiment “E” group received a high subsidized rate of interest on monthly deposits while the control “C” received no such subsidies. Each group consisted of 42 individual savers. The pilot monitored amounts saved by each individual for 12 month. Participants opened their accounts during March through July of 2007 and their monthly deposits were monitored for 12 months. </w:t>
      </w:r>
    </w:p>
    <w:p w:rsidR="00EE107E" w:rsidRDefault="00EE107E" w:rsidP="00EE107E">
      <w:pPr>
        <w:rPr>
          <w:rFonts w:ascii="Garamond" w:hAnsi="Garamond"/>
        </w:rPr>
      </w:pPr>
      <w:r>
        <w:rPr>
          <w:rFonts w:ascii="Garamond" w:hAnsi="Garamond"/>
        </w:rPr>
        <w:t xml:space="preserve">a. While there are differences in reported income between the Control and Experiment groups, are these differences statistically significant? </w:t>
      </w:r>
    </w:p>
    <w:p w:rsidR="00EE107E" w:rsidRDefault="00EE107E" w:rsidP="00EE107E">
      <w:pPr>
        <w:ind w:left="720"/>
        <w:rPr>
          <w:rFonts w:ascii="Garamond" w:hAnsi="Garamond"/>
        </w:rPr>
      </w:pPr>
    </w:p>
    <w:p w:rsidR="006903FD" w:rsidRDefault="006903FD" w:rsidP="006903FD"/>
    <w:sectPr w:rsidR="006903FD" w:rsidSect="006903FD">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明朝 ProN W3">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03FD"/>
    <w:rsid w:val="006903FD"/>
    <w:rsid w:val="00EE107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1463</Characters>
  <Application>Microsoft Macintosh Word</Application>
  <DocSecurity>0</DocSecurity>
  <Lines>12</Lines>
  <Paragraphs>2</Paragraphs>
  <ScaleCrop>false</ScaleCrop>
  <Company>cook's house</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Diana Hampton-Jones</cp:lastModifiedBy>
  <cp:revision>1</cp:revision>
  <dcterms:created xsi:type="dcterms:W3CDTF">2011-03-03T08:18:00Z</dcterms:created>
  <dcterms:modified xsi:type="dcterms:W3CDTF">2011-03-03T08:35:00Z</dcterms:modified>
</cp:coreProperties>
</file>