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8E" w:rsidRDefault="000D558E" w:rsidP="000D558E">
      <w:pPr>
        <w:rPr>
          <w:b/>
        </w:rPr>
      </w:pPr>
    </w:p>
    <w:p w:rsidR="000D558E" w:rsidRDefault="000D558E" w:rsidP="000D558E">
      <w:pPr>
        <w:suppressAutoHyphens/>
      </w:pPr>
      <w:r w:rsidRPr="00052503">
        <w:rPr>
          <w:b/>
        </w:rPr>
        <w:t>2.</w:t>
      </w:r>
      <w:r>
        <w:t xml:space="preserve"> The comparative balance sheets for Gallup Company appear below:</w:t>
      </w:r>
    </w:p>
    <w:p w:rsidR="000D558E" w:rsidRDefault="000D558E" w:rsidP="000D558E">
      <w:pPr>
        <w:suppressAutoHyphens/>
        <w:spacing w:before="120"/>
        <w:jc w:val="center"/>
      </w:pPr>
      <w:r>
        <w:t>GALLUP COMPANY</w:t>
      </w:r>
    </w:p>
    <w:p w:rsidR="000D558E" w:rsidRDefault="000D558E" w:rsidP="000D558E">
      <w:pPr>
        <w:suppressAutoHyphens/>
        <w:jc w:val="center"/>
      </w:pPr>
      <w:r>
        <w:t>Comparative Balance Sheet</w:t>
      </w:r>
    </w:p>
    <w:p w:rsidR="000D558E" w:rsidRDefault="000D558E" w:rsidP="000D558E">
      <w:pPr>
        <w:tabs>
          <w:tab w:val="left" w:pos="5760"/>
          <w:tab w:val="left" w:pos="7920"/>
        </w:tabs>
        <w:suppressAutoHyphens/>
        <w:spacing w:before="120"/>
        <w:rPr>
          <w:u w:val="single"/>
        </w:rPr>
      </w:pPr>
      <w:r w:rsidRPr="001852C6">
        <w:t xml:space="preserve">                                                                                          </w:t>
      </w:r>
      <w:r>
        <w:rPr>
          <w:u w:val="single"/>
        </w:rPr>
        <w:t xml:space="preserve"> Dec. 31, 2010    Dec. 31, 2009</w:t>
      </w:r>
    </w:p>
    <w:p w:rsidR="000D558E" w:rsidRDefault="000D558E" w:rsidP="000D558E">
      <w:pPr>
        <w:suppressAutoHyphens/>
        <w:jc w:val="center"/>
      </w:pPr>
      <w:r>
        <w:rPr>
          <w:u w:val="single"/>
        </w:rPr>
        <w:t>Assets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Cash</w:t>
      </w:r>
      <w:r>
        <w:tab/>
      </w:r>
      <w:r>
        <w:tab/>
      </w:r>
      <w:proofErr w:type="gramStart"/>
      <w:r>
        <w:t>$  28,000</w:t>
      </w:r>
      <w:proofErr w:type="gramEnd"/>
      <w:r>
        <w:tab/>
        <w:t>$13,000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Accounts receivable</w:t>
      </w:r>
      <w:r>
        <w:tab/>
        <w:t>18,000</w:t>
      </w:r>
      <w:r>
        <w:tab/>
        <w:t>14,000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Prepaid expenses</w:t>
      </w:r>
      <w:r>
        <w:tab/>
        <w:t>7,000</w:t>
      </w:r>
      <w:r>
        <w:tab/>
        <w:t>9,000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Inventory</w:t>
      </w:r>
      <w:r>
        <w:tab/>
        <w:t>25,000</w:t>
      </w:r>
      <w:r>
        <w:tab/>
        <w:t>15,000</w:t>
      </w:r>
    </w:p>
    <w:p w:rsidR="000D558E" w:rsidRDefault="000D558E" w:rsidP="000D558E">
      <w:pPr>
        <w:tabs>
          <w:tab w:val="left" w:pos="540"/>
          <w:tab w:val="right" w:pos="6660"/>
          <w:tab w:val="right" w:pos="9000"/>
        </w:tabs>
        <w:suppressAutoHyphens/>
      </w:pPr>
      <w:r>
        <w:t>Long-term investments</w:t>
      </w:r>
      <w:r>
        <w:tab/>
        <w:t>-0-</w:t>
      </w:r>
      <w:r>
        <w:tab/>
        <w:t>18,000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Equipment</w:t>
      </w:r>
      <w:r>
        <w:tab/>
        <w:t>60,000</w:t>
      </w:r>
      <w:r>
        <w:tab/>
        <w:t>30,000</w:t>
      </w:r>
    </w:p>
    <w:p w:rsidR="000D558E" w:rsidRDefault="000D558E" w:rsidP="000D558E">
      <w:pPr>
        <w:tabs>
          <w:tab w:val="left" w:pos="540"/>
          <w:tab w:val="right" w:pos="6930"/>
          <w:tab w:val="right" w:pos="9090"/>
        </w:tabs>
        <w:suppressAutoHyphens/>
      </w:pPr>
      <w:r>
        <w:t>Accumulated depreciation—equipment</w:t>
      </w:r>
      <w:r>
        <w:tab/>
      </w:r>
      <w:r>
        <w:rPr>
          <w:u w:val="single"/>
        </w:rPr>
        <w:t xml:space="preserve">  (18,000</w:t>
      </w:r>
      <w:r>
        <w:t>)</w:t>
      </w:r>
      <w:r>
        <w:tab/>
      </w:r>
      <w:r>
        <w:rPr>
          <w:u w:val="single"/>
        </w:rPr>
        <w:t>(14,000</w:t>
      </w:r>
      <w:r>
        <w:t>)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  <w:rPr>
          <w:u w:val="double"/>
        </w:rPr>
      </w:pPr>
      <w:r>
        <w:tab/>
        <w:t>Total assets</w:t>
      </w:r>
      <w:r>
        <w:tab/>
      </w:r>
      <w:r>
        <w:rPr>
          <w:u w:val="double"/>
        </w:rPr>
        <w:t>$120,000</w:t>
      </w:r>
      <w:r>
        <w:tab/>
      </w:r>
      <w:r>
        <w:rPr>
          <w:u w:val="double"/>
        </w:rPr>
        <w:t>$85,000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  <w:jc w:val="center"/>
      </w:pPr>
      <w:r>
        <w:rPr>
          <w:u w:val="single"/>
        </w:rPr>
        <w:t>Liabilities and Stockholders' Equity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  <w:spacing w:before="120"/>
      </w:pPr>
      <w:r>
        <w:t>Accounts payable</w:t>
      </w:r>
      <w:r>
        <w:tab/>
      </w:r>
      <w:proofErr w:type="gramStart"/>
      <w:r>
        <w:t>$  25,000</w:t>
      </w:r>
      <w:proofErr w:type="gramEnd"/>
      <w:r>
        <w:tab/>
        <w:t>$  7,000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Bonds payable</w:t>
      </w:r>
      <w:r>
        <w:tab/>
        <w:t>37,000</w:t>
      </w:r>
      <w:r>
        <w:tab/>
        <w:t>45,000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>Common stock</w:t>
      </w:r>
      <w:r>
        <w:tab/>
        <w:t>40,000</w:t>
      </w:r>
      <w:r>
        <w:tab/>
        <w:t>23,000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  <w:rPr>
          <w:u w:val="single"/>
        </w:rPr>
      </w:pPr>
      <w:r>
        <w:t>Retained earnings</w:t>
      </w:r>
      <w:r>
        <w:tab/>
      </w:r>
      <w:r>
        <w:rPr>
          <w:u w:val="single"/>
        </w:rPr>
        <w:t xml:space="preserve">    18,000</w:t>
      </w:r>
      <w:r>
        <w:tab/>
      </w:r>
      <w:r>
        <w:rPr>
          <w:u w:val="single"/>
        </w:rPr>
        <w:t xml:space="preserve">  10,000</w:t>
      </w:r>
    </w:p>
    <w:p w:rsidR="000D558E" w:rsidRDefault="000D558E" w:rsidP="000D558E">
      <w:pPr>
        <w:tabs>
          <w:tab w:val="left" w:pos="540"/>
          <w:tab w:val="right" w:pos="6840"/>
          <w:tab w:val="right" w:pos="9000"/>
        </w:tabs>
        <w:suppressAutoHyphens/>
      </w:pPr>
      <w:r>
        <w:tab/>
        <w:t>Total liabilities and stockholders' equity</w:t>
      </w:r>
      <w:r>
        <w:tab/>
      </w:r>
      <w:r>
        <w:rPr>
          <w:u w:val="double"/>
        </w:rPr>
        <w:t>$120,000</w:t>
      </w:r>
      <w:r>
        <w:tab/>
      </w:r>
      <w:r>
        <w:rPr>
          <w:u w:val="double"/>
        </w:rPr>
        <w:t>$85,000</w:t>
      </w:r>
    </w:p>
    <w:p w:rsidR="000D558E" w:rsidRDefault="000D558E" w:rsidP="000D558E">
      <w:pPr>
        <w:suppressAutoHyphens/>
        <w:rPr>
          <w:u w:val="single"/>
        </w:rPr>
      </w:pPr>
    </w:p>
    <w:p w:rsidR="000D558E" w:rsidRDefault="000D558E" w:rsidP="000D558E">
      <w:pPr>
        <w:suppressAutoHyphens/>
      </w:pPr>
      <w:r>
        <w:rPr>
          <w:u w:val="single"/>
        </w:rPr>
        <w:t>Additional information</w:t>
      </w:r>
      <w:r>
        <w:t>:</w:t>
      </w:r>
    </w:p>
    <w:p w:rsidR="000D558E" w:rsidRDefault="000D558E" w:rsidP="000D558E">
      <w:pPr>
        <w:tabs>
          <w:tab w:val="left" w:pos="360"/>
        </w:tabs>
        <w:suppressAutoHyphens/>
      </w:pPr>
      <w:proofErr w:type="gramStart"/>
      <w:r>
        <w:t>1.</w:t>
      </w:r>
      <w:r>
        <w:tab/>
        <w:t>Net income</w:t>
      </w:r>
      <w:proofErr w:type="gramEnd"/>
      <w:r>
        <w:t xml:space="preserve"> for the year ending December 31, 2010, was $25,000.</w:t>
      </w:r>
    </w:p>
    <w:p w:rsidR="000D558E" w:rsidRDefault="000D558E" w:rsidP="000D558E">
      <w:pPr>
        <w:tabs>
          <w:tab w:val="left" w:pos="360"/>
        </w:tabs>
        <w:suppressAutoHyphens/>
      </w:pPr>
      <w:r>
        <w:t>2.</w:t>
      </w:r>
      <w:r>
        <w:tab/>
        <w:t>Cash dividends of $17,000 were declared and paid during the year.</w:t>
      </w:r>
    </w:p>
    <w:p w:rsidR="000D558E" w:rsidRDefault="000D558E" w:rsidP="000D558E">
      <w:pPr>
        <w:tabs>
          <w:tab w:val="left" w:pos="360"/>
        </w:tabs>
        <w:suppressAutoHyphens/>
      </w:pPr>
      <w:r>
        <w:t>3.</w:t>
      </w:r>
      <w:r>
        <w:tab/>
        <w:t>Long-term investments that had a book value of $18,000 were sold for $16,000.</w:t>
      </w:r>
    </w:p>
    <w:p w:rsidR="000D558E" w:rsidRDefault="000D558E" w:rsidP="000D558E">
      <w:pPr>
        <w:tabs>
          <w:tab w:val="left" w:pos="360"/>
        </w:tabs>
        <w:suppressAutoHyphens/>
      </w:pPr>
      <w:r>
        <w:t>4.</w:t>
      </w:r>
      <w:r>
        <w:tab/>
        <w:t>Sales for 2010 are $120,000.</w:t>
      </w:r>
    </w:p>
    <w:p w:rsidR="000D558E" w:rsidRDefault="000D558E" w:rsidP="000D558E">
      <w:pPr>
        <w:suppressAutoHyphens/>
      </w:pPr>
    </w:p>
    <w:p w:rsidR="000D558E" w:rsidRDefault="000D558E" w:rsidP="000D558E">
      <w:pPr>
        <w:suppressAutoHyphens/>
      </w:pPr>
      <w:r>
        <w:rPr>
          <w:b/>
        </w:rPr>
        <w:t>Instructions</w:t>
      </w:r>
    </w:p>
    <w:p w:rsidR="000D558E" w:rsidRDefault="000D558E" w:rsidP="000D558E">
      <w:pPr>
        <w:tabs>
          <w:tab w:val="left" w:pos="360"/>
          <w:tab w:val="left" w:pos="720"/>
        </w:tabs>
        <w:suppressAutoHyphens/>
        <w:ind w:left="360" w:hanging="360"/>
        <w:jc w:val="both"/>
      </w:pPr>
      <w:r>
        <w:t>1.</w:t>
      </w:r>
      <w:r>
        <w:tab/>
        <w:t xml:space="preserve">Prepare a statement of cash flows for the year ended December 31, 2010, using the indirect method. (20 points) </w:t>
      </w:r>
    </w:p>
    <w:p w:rsidR="000D558E" w:rsidRDefault="000D558E" w:rsidP="000D558E">
      <w:pPr>
        <w:rPr>
          <w:b/>
        </w:rPr>
      </w:pPr>
    </w:p>
    <w:p w:rsidR="00121052" w:rsidRDefault="000D558E"/>
    <w:sectPr w:rsidR="00121052" w:rsidSect="001210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58E"/>
    <w:rsid w:val="000D558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8E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New England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Antolkovic</dc:creator>
  <cp:keywords/>
  <cp:lastModifiedBy>Ana Marija Antolkovic</cp:lastModifiedBy>
  <cp:revision>1</cp:revision>
  <dcterms:created xsi:type="dcterms:W3CDTF">2011-02-18T21:55:00Z</dcterms:created>
  <dcterms:modified xsi:type="dcterms:W3CDTF">2011-02-18T21:55:00Z</dcterms:modified>
</cp:coreProperties>
</file>