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05" w:rsidRDefault="007C7503">
      <w:r>
        <w:rPr>
          <w:rStyle w:val="Strong"/>
        </w:rPr>
        <w:t>1.</w:t>
      </w:r>
      <w:r>
        <w:t xml:space="preserve"> (TCO 3) On January 1, 2009, Race Corp. acquired 80% of the voting common stock of </w:t>
      </w:r>
      <w:proofErr w:type="spellStart"/>
      <w:r>
        <w:t>Gallow</w:t>
      </w:r>
      <w:proofErr w:type="spellEnd"/>
      <w:r>
        <w:t xml:space="preserve"> Inc. During the year, Race sold to </w:t>
      </w:r>
      <w:proofErr w:type="spellStart"/>
      <w:r>
        <w:t>Gallow</w:t>
      </w:r>
      <w:proofErr w:type="spellEnd"/>
      <w:r>
        <w:t xml:space="preserve"> for $450,000 goods which cost $330,000. </w:t>
      </w:r>
      <w:proofErr w:type="spellStart"/>
      <w:r>
        <w:t>Gallow</w:t>
      </w:r>
      <w:proofErr w:type="spellEnd"/>
      <w:r>
        <w:t xml:space="preserve"> still owned 15% of the goods at year-end. </w:t>
      </w:r>
      <w:proofErr w:type="spellStart"/>
      <w:r>
        <w:t>Gallow's</w:t>
      </w:r>
      <w:proofErr w:type="spellEnd"/>
      <w:r>
        <w:t xml:space="preserve"> reported net income was $204,000 and Race's net income was $806,000. Race decided to use the </w:t>
      </w:r>
      <w:r>
        <w:rPr>
          <w:i/>
          <w:iCs/>
        </w:rPr>
        <w:t>equity method</w:t>
      </w:r>
      <w:r>
        <w:t xml:space="preserve"> to account for this investment. What was the </w:t>
      </w:r>
      <w:r>
        <w:rPr>
          <w:i/>
          <w:iCs/>
        </w:rPr>
        <w:t>non-controlling interest's share of consolidated net income</w:t>
      </w:r>
      <w:r>
        <w:t xml:space="preserve">? </w:t>
      </w:r>
      <w:r>
        <w:br/>
        <w:t xml:space="preserve">      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05pt;height:18.15pt" o:ole="">
            <v:imagedata r:id="rId4" o:title=""/>
          </v:shape>
          <w:control r:id="rId5" w:name="DefaultOcxName" w:shapeid="_x0000_i1074"/>
        </w:object>
      </w:r>
      <w:proofErr w:type="gramStart"/>
      <w:r>
        <w:t xml:space="preserve">$37,200 </w:t>
      </w:r>
      <w:r>
        <w:br/>
        <w:t xml:space="preserve">       </w:t>
      </w:r>
      <w:r>
        <w:object w:dxaOrig="1440" w:dyaOrig="1440">
          <v:shape id="_x0000_i1073" type="#_x0000_t75" style="width:20.05pt;height:18.15pt" o:ole="">
            <v:imagedata r:id="rId4" o:title=""/>
          </v:shape>
          <w:control r:id="rId6" w:name="DefaultOcxName1" w:shapeid="_x0000_i1073"/>
        </w:object>
      </w:r>
      <w:r>
        <w:t xml:space="preserve">$22,800 </w:t>
      </w:r>
      <w:r>
        <w:br/>
        <w:t xml:space="preserve">       </w:t>
      </w:r>
      <w:r>
        <w:object w:dxaOrig="1440" w:dyaOrig="1440">
          <v:shape id="_x0000_i1072" type="#_x0000_t75" style="width:20.05pt;height:18.15pt" o:ole="">
            <v:imagedata r:id="rId4" o:title=""/>
          </v:shape>
          <w:control r:id="rId7" w:name="DefaultOcxName2" w:shapeid="_x0000_i1072"/>
        </w:object>
      </w:r>
      <w:r>
        <w:t xml:space="preserve">$30,900 </w:t>
      </w:r>
      <w:r>
        <w:br/>
        <w:t xml:space="preserve">       </w:t>
      </w:r>
      <w:r>
        <w:object w:dxaOrig="1440" w:dyaOrig="1440">
          <v:shape id="_x0000_i1071" type="#_x0000_t75" style="width:20.05pt;height:18.15pt" o:ole="">
            <v:imagedata r:id="rId4" o:title=""/>
          </v:shape>
          <w:control r:id="rId8" w:name="DefaultOcxName3" w:shapeid="_x0000_i1071"/>
        </w:object>
      </w:r>
      <w:r>
        <w:t xml:space="preserve">$32,900 </w:t>
      </w:r>
      <w:r>
        <w:br/>
        <w:t xml:space="preserve">       </w:t>
      </w:r>
      <w:r>
        <w:object w:dxaOrig="1440" w:dyaOrig="1440">
          <v:shape id="_x0000_i1070" type="#_x0000_t75" style="width:20.05pt;height:18.15pt" o:ole="">
            <v:imagedata r:id="rId4" o:title=""/>
          </v:shape>
          <w:control r:id="rId9" w:name="DefaultOcxName4" w:shapeid="_x0000_i1070"/>
        </w:object>
      </w:r>
      <w:r>
        <w:t xml:space="preserve">$40,800 </w:t>
      </w:r>
      <w:r>
        <w:br/>
      </w:r>
      <w:r>
        <w:br/>
      </w:r>
      <w:r>
        <w:br/>
      </w:r>
      <w:r>
        <w:rPr>
          <w:rStyle w:val="Strong"/>
        </w:rPr>
        <w:t>2.</w:t>
      </w:r>
      <w:proofErr w:type="gramEnd"/>
      <w:r>
        <w:t> (TCO 3) Where do dividends paid by a subsidiary to the parent company appear on a consolidated statement of cash flows? (</w:t>
      </w:r>
      <w:r>
        <w:br/>
        <w:t xml:space="preserve">       </w:t>
      </w:r>
      <w:r>
        <w:object w:dxaOrig="1440" w:dyaOrig="1440">
          <v:shape id="_x0000_i1069" type="#_x0000_t75" style="width:20.05pt;height:18.15pt" o:ole="">
            <v:imagedata r:id="rId4" o:title=""/>
          </v:shape>
          <w:control r:id="rId10" w:name="DefaultOcxName5" w:shapeid="_x0000_i1069"/>
        </w:object>
      </w:r>
      <w:r>
        <w:t xml:space="preserve">Cash flows from operating activities </w:t>
      </w:r>
      <w:r>
        <w:br/>
        <w:t xml:space="preserve">       </w:t>
      </w:r>
      <w:r>
        <w:object w:dxaOrig="1440" w:dyaOrig="1440">
          <v:shape id="_x0000_i1068" type="#_x0000_t75" style="width:20.05pt;height:18.15pt" o:ole="">
            <v:imagedata r:id="rId4" o:title=""/>
          </v:shape>
          <w:control r:id="rId11" w:name="DefaultOcxName6" w:shapeid="_x0000_i1068"/>
        </w:object>
      </w:r>
      <w:r>
        <w:t xml:space="preserve">Cash flows from investing activities </w:t>
      </w:r>
      <w:r>
        <w:br/>
        <w:t xml:space="preserve">       </w:t>
      </w:r>
      <w:r>
        <w:object w:dxaOrig="1440" w:dyaOrig="1440">
          <v:shape id="_x0000_i1067" type="#_x0000_t75" style="width:20.05pt;height:18.15pt" o:ole="">
            <v:imagedata r:id="rId4" o:title=""/>
          </v:shape>
          <w:control r:id="rId12" w:name="DefaultOcxName7" w:shapeid="_x0000_i1067"/>
        </w:object>
      </w:r>
      <w:r>
        <w:t xml:space="preserve">Cash flows from financing activities </w:t>
      </w:r>
      <w:r>
        <w:br/>
        <w:t xml:space="preserve">       </w:t>
      </w:r>
      <w:r>
        <w:object w:dxaOrig="1440" w:dyaOrig="1440">
          <v:shape id="_x0000_i1066" type="#_x0000_t75" style="width:20.05pt;height:18.15pt" o:ole="">
            <v:imagedata r:id="rId4" o:title=""/>
          </v:shape>
          <w:control r:id="rId13" w:name="DefaultOcxName8" w:shapeid="_x0000_i1066"/>
        </w:object>
      </w:r>
      <w:r>
        <w:t xml:space="preserve">Supplemental schedule of non-cash investing and financing activities </w:t>
      </w:r>
      <w:r>
        <w:br/>
        <w:t xml:space="preserve">       </w:t>
      </w:r>
      <w:r>
        <w:object w:dxaOrig="1440" w:dyaOrig="1440">
          <v:shape id="_x0000_i1065" type="#_x0000_t75" style="width:20.05pt;height:18.15pt" o:ole="">
            <v:imagedata r:id="rId4" o:title=""/>
          </v:shape>
          <w:control r:id="rId14" w:name="DefaultOcxName9" w:shapeid="_x0000_i1065"/>
        </w:object>
      </w:r>
      <w:proofErr w:type="gramStart"/>
      <w:r>
        <w:t>They</w:t>
      </w:r>
      <w:proofErr w:type="gramEnd"/>
      <w:r>
        <w:t xml:space="preserve"> do not appear on the consolidated statement of cash flows </w:t>
      </w:r>
      <w:r>
        <w:br/>
      </w:r>
      <w:r>
        <w:br/>
      </w:r>
      <w:r>
        <w:br/>
      </w:r>
      <w:r>
        <w:rPr>
          <w:rStyle w:val="Strong"/>
        </w:rPr>
        <w:t>3.</w:t>
      </w:r>
      <w:r>
        <w:t xml:space="preserve"> (TCO 3) Keenan Company has had bonds payable of $20,000 outstanding for several years. On January 1, 2009, when there was an unamortized premium of $2,000 with a remaining life of 10 years, Keenan's parent, Ross, Inc., purchased the bonds in the open market for $19,000. Keenan is a 90% owned subsidiary of Ross. The bonds pay 8% interest annually on December 31. The companies use the straight-line method to amortize interest revenue and expense. Compute the consolidated gain or loss on a consolidated income statement for 2009. </w:t>
      </w:r>
      <w:r>
        <w:br/>
        <w:t xml:space="preserve">       </w:t>
      </w:r>
      <w:r>
        <w:object w:dxaOrig="1440" w:dyaOrig="1440">
          <v:shape id="_x0000_i1064" type="#_x0000_t75" style="width:20.05pt;height:18.15pt" o:ole="">
            <v:imagedata r:id="rId4" o:title=""/>
          </v:shape>
          <w:control r:id="rId15" w:name="DefaultOcxName10" w:shapeid="_x0000_i1064"/>
        </w:object>
      </w:r>
      <w:r>
        <w:t xml:space="preserve">$3,000 gain </w:t>
      </w:r>
      <w:r>
        <w:br/>
        <w:t xml:space="preserve">       </w:t>
      </w:r>
      <w:r>
        <w:object w:dxaOrig="1440" w:dyaOrig="1440">
          <v:shape id="_x0000_i1063" type="#_x0000_t75" style="width:20.05pt;height:18.15pt" o:ole="">
            <v:imagedata r:id="rId4" o:title=""/>
          </v:shape>
          <w:control r:id="rId16" w:name="DefaultOcxName11" w:shapeid="_x0000_i1063"/>
        </w:object>
      </w:r>
      <w:r>
        <w:t xml:space="preserve">$3,000 loss </w:t>
      </w:r>
      <w:r>
        <w:br/>
        <w:t xml:space="preserve">       </w:t>
      </w:r>
      <w:r>
        <w:object w:dxaOrig="1440" w:dyaOrig="1440">
          <v:shape id="_x0000_i1062" type="#_x0000_t75" style="width:20.05pt;height:18.15pt" o:ole="">
            <v:imagedata r:id="rId4" o:title=""/>
          </v:shape>
          <w:control r:id="rId17" w:name="DefaultOcxName12" w:shapeid="_x0000_i1062"/>
        </w:object>
      </w:r>
      <w:r>
        <w:t xml:space="preserve">$1,000 gain </w:t>
      </w:r>
      <w:r>
        <w:br/>
        <w:t xml:space="preserve">       </w:t>
      </w:r>
      <w:r>
        <w:object w:dxaOrig="1440" w:dyaOrig="1440">
          <v:shape id="_x0000_i1061" type="#_x0000_t75" style="width:20.05pt;height:18.15pt" o:ole="">
            <v:imagedata r:id="rId4" o:title=""/>
          </v:shape>
          <w:control r:id="rId18" w:name="DefaultOcxName13" w:shapeid="_x0000_i1061"/>
        </w:object>
      </w:r>
      <w:r>
        <w:t xml:space="preserve">$1,000 loss </w:t>
      </w:r>
      <w:r>
        <w:br/>
        <w:t xml:space="preserve">       </w:t>
      </w:r>
      <w:r>
        <w:object w:dxaOrig="1440" w:dyaOrig="1440">
          <v:shape id="_x0000_i1060" type="#_x0000_t75" style="width:20.05pt;height:18.15pt" o:ole="">
            <v:imagedata r:id="rId4" o:title=""/>
          </v:shape>
          <w:control r:id="rId19" w:name="DefaultOcxName14" w:shapeid="_x0000_i1060"/>
        </w:object>
      </w:r>
      <w:r>
        <w:t xml:space="preserve">$2,000 gain </w:t>
      </w:r>
      <w:r>
        <w:br/>
      </w:r>
      <w:r>
        <w:br/>
      </w:r>
      <w:r>
        <w:br/>
      </w:r>
      <w:r>
        <w:rPr>
          <w:rStyle w:val="Strong"/>
        </w:rPr>
        <w:lastRenderedPageBreak/>
        <w:t>4.</w:t>
      </w:r>
      <w:r>
        <w:t xml:space="preserve"> (TCO 3) Using the indirect method, where does the decrease in accounts receivable appear on a consolidated statement of cash flows? </w:t>
      </w:r>
      <w:r>
        <w:br/>
        <w:t xml:space="preserve">       </w:t>
      </w:r>
      <w:r>
        <w:object w:dxaOrig="1440" w:dyaOrig="1440">
          <v:shape id="_x0000_i1059" type="#_x0000_t75" style="width:20.05pt;height:18.15pt" o:ole="">
            <v:imagedata r:id="rId4" o:title=""/>
          </v:shape>
          <w:control r:id="rId20" w:name="DefaultOcxName15" w:shapeid="_x0000_i1059"/>
        </w:object>
      </w:r>
      <w:r>
        <w:t xml:space="preserve">$8,000 increase to net income as an operating activity </w:t>
      </w:r>
      <w:r>
        <w:br/>
        <w:t xml:space="preserve">       </w:t>
      </w:r>
      <w:r>
        <w:object w:dxaOrig="1440" w:dyaOrig="1440">
          <v:shape id="_x0000_i1058" type="#_x0000_t75" style="width:20.05pt;height:18.15pt" o:ole="">
            <v:imagedata r:id="rId4" o:title=""/>
          </v:shape>
          <w:control r:id="rId21" w:name="DefaultOcxName16" w:shapeid="_x0000_i1058"/>
        </w:object>
      </w:r>
      <w:r>
        <w:t xml:space="preserve">$8,000 decrease to net income as an operating activity </w:t>
      </w:r>
      <w:r>
        <w:br/>
        <w:t xml:space="preserve">       </w:t>
      </w:r>
      <w:r>
        <w:object w:dxaOrig="1440" w:dyaOrig="1440">
          <v:shape id="_x0000_i1057" type="#_x0000_t75" style="width:20.05pt;height:18.15pt" o:ole="">
            <v:imagedata r:id="rId4" o:title=""/>
          </v:shape>
          <w:control r:id="rId22" w:name="DefaultOcxName17" w:shapeid="_x0000_i1057"/>
        </w:object>
      </w:r>
      <w:r>
        <w:t xml:space="preserve">$6,400 increase to net income as an operating activity </w:t>
      </w:r>
      <w:r>
        <w:br/>
        <w:t xml:space="preserve">       </w:t>
      </w:r>
      <w:r>
        <w:object w:dxaOrig="1440" w:dyaOrig="1440">
          <v:shape id="_x0000_i1056" type="#_x0000_t75" style="width:20.05pt;height:18.15pt" o:ole="">
            <v:imagedata r:id="rId4" o:title=""/>
          </v:shape>
          <w:control r:id="rId23" w:name="DefaultOcxName18" w:shapeid="_x0000_i1056"/>
        </w:object>
      </w:r>
      <w:r>
        <w:t xml:space="preserve">$6,400 decrease to net income as an operating activity </w:t>
      </w:r>
      <w:r>
        <w:br/>
        <w:t xml:space="preserve">       </w:t>
      </w:r>
      <w:r>
        <w:object w:dxaOrig="1440" w:dyaOrig="1440">
          <v:shape id="_x0000_i1055" type="#_x0000_t75" style="width:20.05pt;height:18.15pt" o:ole="">
            <v:imagedata r:id="rId4" o:title=""/>
          </v:shape>
          <w:control r:id="rId24" w:name="DefaultOcxName19" w:shapeid="_x0000_i1055"/>
        </w:object>
      </w:r>
      <w:r>
        <w:t xml:space="preserve">$8,000 increase as an investing activity </w:t>
      </w:r>
      <w:r>
        <w:br/>
      </w:r>
      <w:r>
        <w:br/>
      </w:r>
      <w:r>
        <w:br/>
      </w:r>
      <w:r>
        <w:rPr>
          <w:rStyle w:val="Strong"/>
        </w:rPr>
        <w:t>5.</w:t>
      </w:r>
      <w:r>
        <w:t xml:space="preserve"> (TCO 3) Stevens Company has had bonds payable of $10,000 outstanding for several years. On January 1, 2009, when there was an unamortized discount of $2,000 and a remaining life of 5 years. Its 80% owned subsidiary, Matthews Company, purchased the bonds in the open market for $11,000. The bonds pay 6% interest annually on December 31. The companies use the straight-line method to amortize interest revenue and expense. Compute the consolidated gain or loss on a consolidated income statement for 2009. </w:t>
      </w:r>
      <w:r>
        <w:br/>
        <w:t xml:space="preserve">       </w:t>
      </w:r>
      <w:r>
        <w:object w:dxaOrig="1440" w:dyaOrig="1440">
          <v:shape id="_x0000_i1054" type="#_x0000_t75" style="width:20.05pt;height:18.15pt" o:ole="">
            <v:imagedata r:id="rId4" o:title=""/>
          </v:shape>
          <w:control r:id="rId25" w:name="DefaultOcxName20" w:shapeid="_x0000_i1054"/>
        </w:object>
      </w:r>
      <w:r>
        <w:t xml:space="preserve">$1,000 gain </w:t>
      </w:r>
      <w:r>
        <w:br/>
        <w:t xml:space="preserve">       </w:t>
      </w:r>
      <w:r>
        <w:object w:dxaOrig="1440" w:dyaOrig="1440">
          <v:shape id="_x0000_i1053" type="#_x0000_t75" style="width:20.05pt;height:18.15pt" o:ole="">
            <v:imagedata r:id="rId4" o:title=""/>
          </v:shape>
          <w:control r:id="rId26" w:name="DefaultOcxName21" w:shapeid="_x0000_i1053"/>
        </w:object>
      </w:r>
      <w:r>
        <w:t xml:space="preserve">$1,000 loss </w:t>
      </w:r>
      <w:r>
        <w:br/>
        <w:t xml:space="preserve">       </w:t>
      </w:r>
      <w:r>
        <w:object w:dxaOrig="1440" w:dyaOrig="1440">
          <v:shape id="_x0000_i1052" type="#_x0000_t75" style="width:20.05pt;height:18.15pt" o:ole="">
            <v:imagedata r:id="rId4" o:title=""/>
          </v:shape>
          <w:control r:id="rId27" w:name="DefaultOcxName22" w:shapeid="_x0000_i1052"/>
        </w:object>
      </w:r>
      <w:r>
        <w:t xml:space="preserve">$2,000 loss </w:t>
      </w:r>
      <w:r>
        <w:br/>
        <w:t xml:space="preserve">       </w:t>
      </w:r>
      <w:r>
        <w:object w:dxaOrig="1440" w:dyaOrig="1440">
          <v:shape id="_x0000_i1051" type="#_x0000_t75" style="width:20.05pt;height:18.15pt" o:ole="">
            <v:imagedata r:id="rId4" o:title=""/>
          </v:shape>
          <w:control r:id="rId28" w:name="DefaultOcxName23" w:shapeid="_x0000_i1051"/>
        </w:object>
      </w:r>
      <w:r>
        <w:t xml:space="preserve">$3,000 loss </w:t>
      </w:r>
      <w:r>
        <w:br/>
        <w:t xml:space="preserve">       </w:t>
      </w:r>
      <w:r>
        <w:object w:dxaOrig="1440" w:dyaOrig="1440">
          <v:shape id="_x0000_i1050" type="#_x0000_t75" style="width:20.05pt;height:18.15pt" o:ole="">
            <v:imagedata r:id="rId4" o:title=""/>
          </v:shape>
          <w:control r:id="rId29" w:name="DefaultOcxName24" w:shapeid="_x0000_i1050"/>
        </w:object>
      </w:r>
      <w:r>
        <w:t>$3,000 gain</w:t>
      </w:r>
    </w:p>
    <w:sectPr w:rsidR="00303705" w:rsidSect="00303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11D1E"/>
    <w:rsid w:val="00303705"/>
    <w:rsid w:val="007C7503"/>
    <w:rsid w:val="00C1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7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Joseph Thomas</dc:creator>
  <cp:lastModifiedBy>Anil Joseph Thomas</cp:lastModifiedBy>
  <cp:revision>2</cp:revision>
  <dcterms:created xsi:type="dcterms:W3CDTF">2011-02-07T02:19:00Z</dcterms:created>
  <dcterms:modified xsi:type="dcterms:W3CDTF">2011-02-07T02:23:00Z</dcterms:modified>
</cp:coreProperties>
</file>