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9" w:rsidRPr="00C66B75" w:rsidRDefault="00A842D9" w:rsidP="00A842D9">
      <w:pPr>
        <w:pStyle w:val="Heading1"/>
        <w:jc w:val="both"/>
        <w:rPr>
          <w:rFonts w:ascii="Times New Roman" w:hAnsi="Times New Roman"/>
          <w:spacing w:val="-3"/>
          <w:sz w:val="36"/>
          <w:szCs w:val="36"/>
        </w:rPr>
      </w:pPr>
      <w:r w:rsidRPr="00C66B75">
        <w:rPr>
          <w:rFonts w:ascii="Times New Roman" w:hAnsi="Times New Roman"/>
          <w:b w:val="0"/>
          <w:spacing w:val="-3"/>
          <w:sz w:val="36"/>
          <w:szCs w:val="36"/>
          <w:u w:val="none"/>
        </w:rPr>
        <w:t>Beacon and Dobbs have been in partnership as tailors for six years. Their incomplete trial balance at 31 December 19X8 is as follows.</w:t>
      </w:r>
    </w:p>
    <w:p w:rsidR="00A842D9" w:rsidRPr="00C66B75" w:rsidRDefault="00A842D9" w:rsidP="00A842D9">
      <w:pPr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Debit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Credit</w:t>
      </w:r>
    </w:p>
    <w:p w:rsidR="00A842D9" w:rsidRPr="00C66B75" w:rsidRDefault="00A842D9" w:rsidP="00A842D9">
      <w:pPr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£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£</w:t>
      </w:r>
    </w:p>
    <w:p w:rsidR="00A842D9" w:rsidRPr="00C66B75" w:rsidRDefault="00A842D9" w:rsidP="00A842D9">
      <w:pPr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Capital (at 1.1.X8):</w:t>
      </w:r>
    </w:p>
    <w:p w:rsidR="00A842D9" w:rsidRPr="00C66B75" w:rsidRDefault="00A842D9" w:rsidP="00A842D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- Beacon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</w:t>
      </w:r>
      <w:r w:rsidRPr="00C66B75">
        <w:rPr>
          <w:spacing w:val="-3"/>
          <w:sz w:val="36"/>
          <w:szCs w:val="36"/>
        </w:rPr>
        <w:tab/>
        <w:t xml:space="preserve">  8,000</w:t>
      </w:r>
    </w:p>
    <w:p w:rsidR="00A842D9" w:rsidRPr="00C66B75" w:rsidRDefault="00A842D9" w:rsidP="00A842D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- Dobbs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5,000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Purchases/sales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45,620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74,750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Debtors/creditors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1,210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4,360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Leasehold shop at cost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18,000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Equipment at cost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8,500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Accumulated depreciation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 xml:space="preserve"> </w:t>
      </w:r>
      <w:proofErr w:type="gramStart"/>
      <w:r w:rsidRPr="00C66B75">
        <w:rPr>
          <w:spacing w:val="-3"/>
          <w:sz w:val="36"/>
          <w:szCs w:val="36"/>
        </w:rPr>
        <w:t>on</w:t>
      </w:r>
      <w:proofErr w:type="gramEnd"/>
      <w:r w:rsidRPr="00C66B75">
        <w:rPr>
          <w:spacing w:val="-3"/>
          <w:sz w:val="36"/>
          <w:szCs w:val="36"/>
        </w:rPr>
        <w:t xml:space="preserve"> equipment at 1.1.X8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1,200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Shop assistant wages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5,320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Stationery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   320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Light and heat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1,850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Bank charges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    45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Stock at 1.1.X8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6,630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Bank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3,815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>Drawings:</w:t>
      </w:r>
    </w:p>
    <w:p w:rsidR="00A842D9" w:rsidRPr="00C66B75" w:rsidRDefault="00A842D9" w:rsidP="00A842D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- Beacon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2,200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>- Dobbs</w:t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</w:r>
      <w:r w:rsidRPr="00C66B75">
        <w:rPr>
          <w:spacing w:val="-3"/>
          <w:sz w:val="36"/>
          <w:szCs w:val="36"/>
        </w:rPr>
        <w:tab/>
        <w:t xml:space="preserve">  1,800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>Additional information: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>(</w:t>
      </w:r>
      <w:proofErr w:type="spellStart"/>
      <w:r w:rsidRPr="00C66B75">
        <w:rPr>
          <w:spacing w:val="-3"/>
          <w:sz w:val="36"/>
          <w:szCs w:val="36"/>
        </w:rPr>
        <w:t>i</w:t>
      </w:r>
      <w:proofErr w:type="spellEnd"/>
      <w:r w:rsidRPr="00C66B75">
        <w:rPr>
          <w:spacing w:val="-3"/>
          <w:sz w:val="36"/>
          <w:szCs w:val="36"/>
        </w:rPr>
        <w:t>)</w:t>
      </w:r>
      <w:r w:rsidRPr="00C66B75">
        <w:rPr>
          <w:spacing w:val="-3"/>
          <w:sz w:val="36"/>
          <w:szCs w:val="36"/>
        </w:rPr>
        <w:tab/>
        <w:t>At the end of the year there is electricity accrued to the value of £60.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 xml:space="preserve">(ii) </w:t>
      </w:r>
      <w:r w:rsidRPr="00C66B75">
        <w:rPr>
          <w:spacing w:val="-3"/>
          <w:sz w:val="36"/>
          <w:szCs w:val="36"/>
        </w:rPr>
        <w:tab/>
        <w:t>Stationery unused at the end of the year was valued at £50.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 xml:space="preserve">(iii) </w:t>
      </w:r>
      <w:r w:rsidRPr="00C66B75">
        <w:rPr>
          <w:spacing w:val="-3"/>
          <w:sz w:val="36"/>
          <w:szCs w:val="36"/>
        </w:rPr>
        <w:tab/>
        <w:t>The equipment is depreciated at 10% per annum on a reducing balance basis. The leasehold property is not depreciated.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proofErr w:type="gramStart"/>
      <w:r w:rsidRPr="00C66B75">
        <w:rPr>
          <w:spacing w:val="-3"/>
          <w:sz w:val="36"/>
          <w:szCs w:val="36"/>
        </w:rPr>
        <w:t>(iv)</w:t>
      </w:r>
      <w:r w:rsidRPr="00C66B75">
        <w:rPr>
          <w:spacing w:val="-3"/>
          <w:sz w:val="36"/>
          <w:szCs w:val="36"/>
        </w:rPr>
        <w:tab/>
        <w:t>The</w:t>
      </w:r>
      <w:proofErr w:type="gramEnd"/>
      <w:r w:rsidRPr="00C66B75">
        <w:rPr>
          <w:spacing w:val="-3"/>
          <w:sz w:val="36"/>
          <w:szCs w:val="36"/>
        </w:rPr>
        <w:t xml:space="preserve"> stock at 31 December 19X8 was valued at £5,970.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>(v)</w:t>
      </w:r>
      <w:r w:rsidRPr="00C66B75">
        <w:rPr>
          <w:spacing w:val="-3"/>
          <w:sz w:val="36"/>
          <w:szCs w:val="36"/>
        </w:rPr>
        <w:tab/>
        <w:t>Dobbs made further drawings of £8,000 on 10 January 19X9.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proofErr w:type="gramStart"/>
      <w:r w:rsidRPr="00C66B75">
        <w:rPr>
          <w:spacing w:val="-3"/>
          <w:sz w:val="36"/>
          <w:szCs w:val="36"/>
        </w:rPr>
        <w:t>(vi)</w:t>
      </w:r>
      <w:r w:rsidRPr="00C66B75">
        <w:rPr>
          <w:spacing w:val="-3"/>
          <w:sz w:val="36"/>
          <w:szCs w:val="36"/>
        </w:rPr>
        <w:tab/>
        <w:t>Beacon</w:t>
      </w:r>
      <w:proofErr w:type="gramEnd"/>
      <w:r w:rsidRPr="00C66B75">
        <w:rPr>
          <w:spacing w:val="-3"/>
          <w:sz w:val="36"/>
          <w:szCs w:val="36"/>
        </w:rPr>
        <w:t xml:space="preserve"> and Dobbs have a partnership agreement which states that: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 xml:space="preserve">- </w:t>
      </w:r>
      <w:proofErr w:type="gramStart"/>
      <w:r w:rsidRPr="00C66B75">
        <w:rPr>
          <w:spacing w:val="-3"/>
          <w:sz w:val="36"/>
          <w:szCs w:val="36"/>
        </w:rPr>
        <w:t>each</w:t>
      </w:r>
      <w:proofErr w:type="gramEnd"/>
      <w:r w:rsidRPr="00C66B75">
        <w:rPr>
          <w:spacing w:val="-3"/>
          <w:sz w:val="36"/>
          <w:szCs w:val="36"/>
        </w:rPr>
        <w:t xml:space="preserve"> partner receives interest on their opening capital balances at 10% per annum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 xml:space="preserve">- </w:t>
      </w:r>
      <w:proofErr w:type="gramStart"/>
      <w:r w:rsidRPr="00C66B75">
        <w:rPr>
          <w:spacing w:val="-3"/>
          <w:sz w:val="36"/>
          <w:szCs w:val="36"/>
        </w:rPr>
        <w:t>salaries</w:t>
      </w:r>
      <w:proofErr w:type="gramEnd"/>
      <w:r w:rsidRPr="00C66B75">
        <w:rPr>
          <w:spacing w:val="-3"/>
          <w:sz w:val="36"/>
          <w:szCs w:val="36"/>
        </w:rPr>
        <w:t xml:space="preserve"> are to be paid at £6,200 per annum for Beacon and £4,875 for Dobbs</w:t>
      </w: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ab/>
        <w:t xml:space="preserve">- </w:t>
      </w:r>
      <w:proofErr w:type="gramStart"/>
      <w:r w:rsidRPr="00C66B75">
        <w:rPr>
          <w:spacing w:val="-3"/>
          <w:sz w:val="36"/>
          <w:szCs w:val="36"/>
        </w:rPr>
        <w:t>the</w:t>
      </w:r>
      <w:proofErr w:type="gramEnd"/>
      <w:r w:rsidRPr="00C66B75">
        <w:rPr>
          <w:spacing w:val="-3"/>
          <w:sz w:val="36"/>
          <w:szCs w:val="36"/>
        </w:rPr>
        <w:t xml:space="preserve"> remainder of the profit is to be split equally between the partners.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>(vii)</w:t>
      </w:r>
      <w:r w:rsidRPr="00C66B75">
        <w:rPr>
          <w:spacing w:val="-3"/>
          <w:sz w:val="36"/>
          <w:szCs w:val="36"/>
        </w:rPr>
        <w:tab/>
        <w:t>Beacon paid £2,000 of capital into the business on 15 December 19X8.</w:t>
      </w: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spacing w:val="-3"/>
          <w:sz w:val="36"/>
          <w:szCs w:val="36"/>
        </w:rPr>
      </w:pPr>
    </w:p>
    <w:p w:rsidR="00A842D9" w:rsidRPr="00C66B75" w:rsidRDefault="00A842D9" w:rsidP="00A842D9">
      <w:pPr>
        <w:tabs>
          <w:tab w:val="left" w:pos="-720"/>
        </w:tabs>
        <w:suppressAutoHyphens/>
        <w:jc w:val="both"/>
        <w:rPr>
          <w:b/>
          <w:spacing w:val="-3"/>
          <w:sz w:val="36"/>
          <w:szCs w:val="36"/>
        </w:rPr>
      </w:pPr>
      <w:r w:rsidRPr="00C66B75">
        <w:rPr>
          <w:b/>
          <w:spacing w:val="-3"/>
          <w:sz w:val="36"/>
          <w:szCs w:val="36"/>
        </w:rPr>
        <w:t>Required</w:t>
      </w:r>
    </w:p>
    <w:p w:rsidR="00A842D9" w:rsidRPr="00C66B75" w:rsidRDefault="00A842D9" w:rsidP="00A842D9">
      <w:pPr>
        <w:tabs>
          <w:tab w:val="right" w:pos="9026"/>
        </w:tabs>
        <w:suppressAutoHyphens/>
        <w:ind w:left="360" w:hanging="360"/>
        <w:jc w:val="both"/>
        <w:rPr>
          <w:spacing w:val="-3"/>
          <w:sz w:val="36"/>
          <w:szCs w:val="36"/>
        </w:rPr>
      </w:pPr>
      <w:r w:rsidRPr="00C66B75">
        <w:rPr>
          <w:spacing w:val="-3"/>
          <w:sz w:val="36"/>
          <w:szCs w:val="36"/>
        </w:rPr>
        <w:t>Prepare the profit and loss account for Beacon and Dobbs for the year ended 31 December 19X8.</w:t>
      </w:r>
    </w:p>
    <w:p w:rsidR="00F403AF" w:rsidRDefault="00F403AF"/>
    <w:sectPr w:rsidR="00F403AF" w:rsidSect="00F4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842D9"/>
    <w:rsid w:val="00A842D9"/>
    <w:rsid w:val="00F4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42D9"/>
    <w:pPr>
      <w:keepNext/>
      <w:outlineLvl w:val="0"/>
    </w:pPr>
    <w:rPr>
      <w:rFonts w:ascii="Arial" w:hAnsi="Arial"/>
      <w:b/>
      <w:sz w:val="22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2D9"/>
    <w:rPr>
      <w:rFonts w:ascii="Arial" w:eastAsia="Times New Roman" w:hAnsi="Arial" w:cs="Times New Roman"/>
      <w:b/>
      <w:szCs w:val="20"/>
      <w:u w:val="single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2010-12-22T20:04:00Z</dcterms:created>
  <dcterms:modified xsi:type="dcterms:W3CDTF">2010-12-22T20:05:00Z</dcterms:modified>
</cp:coreProperties>
</file>