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55" w:rsidRDefault="00FA5C4C">
      <w:pPr>
        <w:rPr>
          <w:rFonts w:ascii="Times New Roman" w:hAnsi="Times New Roman" w:cs="Times New Roman"/>
          <w:b/>
          <w:sz w:val="24"/>
          <w:szCs w:val="24"/>
        </w:rPr>
      </w:pPr>
      <w:r w:rsidRPr="00FA5C4C">
        <w:rPr>
          <w:rFonts w:ascii="Times New Roman" w:hAnsi="Times New Roman" w:cs="Times New Roman"/>
          <w:b/>
          <w:sz w:val="24"/>
          <w:szCs w:val="24"/>
        </w:rPr>
        <w:t>Problem 6 – 5A Internal Control</w:t>
      </w:r>
    </w:p>
    <w:p w:rsidR="00FA5C4C" w:rsidRDefault="00FA5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Abbott Inc. is expanding and needs to hire more personnel in the accounting office. Barbara Barker, the chief accounting clerk, knew that her cousin Cheryl was looking for a job. Barbara and Cheryl are also roommates. Barbara offered Cheryl a job as her assistant. Barbara will be responsible for Cheryl’s performance reviews and training.</w:t>
      </w:r>
    </w:p>
    <w:p w:rsidR="00FA5C4C" w:rsidRDefault="00FA5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FA5C4C" w:rsidRDefault="00FA5C4C" w:rsidP="00FA5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problems with the proposed personnel situations in the accounting department.</w:t>
      </w:r>
    </w:p>
    <w:p w:rsidR="00FA5C4C" w:rsidRDefault="00FA5C4C" w:rsidP="00FA5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accountants are concerned with the hiring of personnel. What suggestions would you make to improve internal control at Abbott?</w:t>
      </w:r>
    </w:p>
    <w:p w:rsidR="00FA5C4C" w:rsidRDefault="00FA5C4C" w:rsidP="00FA5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explain to Barbara and Cheryl that they personally are not the problem?</w:t>
      </w:r>
    </w:p>
    <w:p w:rsidR="00FA5C4C" w:rsidRDefault="00FA5C4C" w:rsidP="00FA5C4C">
      <w:pPr>
        <w:rPr>
          <w:rFonts w:ascii="Times New Roman" w:hAnsi="Times New Roman" w:cs="Times New Roman"/>
          <w:sz w:val="24"/>
          <w:szCs w:val="24"/>
        </w:rPr>
      </w:pPr>
    </w:p>
    <w:p w:rsidR="00FA5C4C" w:rsidRPr="00292BA3" w:rsidRDefault="00FA5C4C" w:rsidP="00FA5C4C">
      <w:pPr>
        <w:rPr>
          <w:rFonts w:ascii="Times New Roman" w:hAnsi="Times New Roman" w:cs="Times New Roman"/>
          <w:b/>
          <w:sz w:val="24"/>
          <w:szCs w:val="24"/>
        </w:rPr>
      </w:pPr>
      <w:r w:rsidRPr="00292BA3">
        <w:rPr>
          <w:rFonts w:ascii="Times New Roman" w:hAnsi="Times New Roman" w:cs="Times New Roman"/>
          <w:b/>
          <w:sz w:val="24"/>
          <w:szCs w:val="24"/>
        </w:rPr>
        <w:t>Problem 7 -3 Accounts Receivables Turnover for Coca Cola and PepsiCo</w:t>
      </w:r>
    </w:p>
    <w:p w:rsidR="00FA5C4C" w:rsidRDefault="00FA5C4C" w:rsidP="00FA5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was summarized from the 2006 annual report of the Coca-Cola Company: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</w:p>
    <w:p w:rsidR="00FA5C4C" w:rsidRDefault="00FA5C4C" w:rsidP="00FA5C4C">
      <w:pPr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millions)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accounts receivable, less allowances of $63 and $72, respectively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eastAsia="Calibri" w:hAnsi="Times New Roman" w:cs="Times New Roman"/>
          <w:sz w:val="24"/>
          <w:szCs w:val="24"/>
        </w:rPr>
        <w:t>ember 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 2006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eastAsia="Calibri" w:hAnsi="Times New Roman" w:cs="Times New Roman"/>
          <w:sz w:val="24"/>
          <w:szCs w:val="24"/>
        </w:rPr>
        <w:t xml:space="preserve">ember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2005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281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operating revenues for the year ended December 31: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2006</w:t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243397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43397">
        <w:rPr>
          <w:rFonts w:ascii="Times New Roman" w:hAnsi="Times New Roman"/>
          <w:sz w:val="24"/>
          <w:szCs w:val="24"/>
        </w:rPr>
        <w:t>88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2005 </w:t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  <w:t xml:space="preserve"> 23,104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</w:p>
    <w:p w:rsidR="00243397" w:rsidRDefault="00243397" w:rsidP="00FA5C4C">
      <w:pPr>
        <w:rPr>
          <w:rFonts w:ascii="Times New Roman" w:hAnsi="Times New Roman"/>
          <w:sz w:val="24"/>
          <w:szCs w:val="24"/>
        </w:rPr>
      </w:pPr>
    </w:p>
    <w:p w:rsidR="00243397" w:rsidRDefault="00243397" w:rsidP="00FA5C4C">
      <w:pPr>
        <w:rPr>
          <w:rFonts w:ascii="Times New Roman" w:hAnsi="Times New Roman"/>
          <w:sz w:val="24"/>
          <w:szCs w:val="24"/>
        </w:rPr>
      </w:pPr>
    </w:p>
    <w:p w:rsidR="00243397" w:rsidRDefault="00243397" w:rsidP="00FA5C4C">
      <w:pPr>
        <w:rPr>
          <w:rFonts w:ascii="Times New Roman" w:hAnsi="Times New Roman"/>
          <w:sz w:val="24"/>
          <w:szCs w:val="24"/>
        </w:rPr>
      </w:pPr>
    </w:p>
    <w:p w:rsidR="00292BA3" w:rsidRDefault="00292BA3" w:rsidP="00FA5C4C">
      <w:pPr>
        <w:rPr>
          <w:rFonts w:ascii="Times New Roman" w:hAnsi="Times New Roman"/>
          <w:sz w:val="24"/>
          <w:szCs w:val="24"/>
        </w:rPr>
      </w:pP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following information was summarized from the fiscal year 2006 annual report of </w:t>
      </w:r>
      <w:r w:rsidR="00243397">
        <w:rPr>
          <w:rFonts w:ascii="Times New Roman" w:hAnsi="Times New Roman"/>
          <w:sz w:val="24"/>
          <w:szCs w:val="24"/>
        </w:rPr>
        <w:t>PepsiCo:</w:t>
      </w:r>
    </w:p>
    <w:p w:rsidR="00FA5C4C" w:rsidRDefault="00FA5C4C" w:rsidP="00FA5C4C">
      <w:pPr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millions)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A5C4C" w:rsidRDefault="00243397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and notes, receivable, net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43397">
        <w:rPr>
          <w:rFonts w:ascii="Times New Roman" w:hAnsi="Times New Roman"/>
          <w:sz w:val="24"/>
          <w:szCs w:val="24"/>
        </w:rPr>
        <w:t>Decem</w:t>
      </w:r>
      <w:r>
        <w:rPr>
          <w:rFonts w:ascii="Times New Roman" w:eastAsia="Calibri" w:hAnsi="Times New Roman" w:cs="Times New Roman"/>
          <w:sz w:val="24"/>
          <w:szCs w:val="24"/>
        </w:rPr>
        <w:t>ber 3</w:t>
      </w:r>
      <w:r w:rsidR="00243397">
        <w:rPr>
          <w:rFonts w:ascii="Times New Roman" w:hAnsi="Times New Roman"/>
          <w:sz w:val="24"/>
          <w:szCs w:val="24"/>
        </w:rPr>
        <w:t>0, 2006</w:t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433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$</w:t>
      </w:r>
      <w:r w:rsidR="00243397">
        <w:rPr>
          <w:rFonts w:ascii="Times New Roman" w:hAnsi="Times New Roman"/>
          <w:sz w:val="24"/>
          <w:szCs w:val="24"/>
        </w:rPr>
        <w:t>3,725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43397">
        <w:rPr>
          <w:rFonts w:ascii="Times New Roman" w:hAnsi="Times New Roman"/>
          <w:sz w:val="24"/>
          <w:szCs w:val="24"/>
        </w:rPr>
        <w:t>Decem</w:t>
      </w:r>
      <w:r>
        <w:rPr>
          <w:rFonts w:ascii="Times New Roman" w:eastAsia="Calibri" w:hAnsi="Times New Roman" w:cs="Times New Roman"/>
          <w:sz w:val="24"/>
          <w:szCs w:val="24"/>
        </w:rPr>
        <w:t xml:space="preserve">ber 31, 2005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243397">
        <w:rPr>
          <w:rFonts w:ascii="Times New Roman" w:hAnsi="Times New Roman"/>
          <w:sz w:val="24"/>
          <w:szCs w:val="24"/>
        </w:rPr>
        <w:t xml:space="preserve">  3,261</w:t>
      </w:r>
    </w:p>
    <w:p w:rsidR="00FA5C4C" w:rsidRDefault="00243397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revenue for the year ended</w:t>
      </w:r>
      <w:r w:rsidR="00FA5C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43397">
        <w:rPr>
          <w:rFonts w:ascii="Times New Roman" w:hAnsi="Times New Roman"/>
          <w:sz w:val="24"/>
          <w:szCs w:val="24"/>
        </w:rPr>
        <w:t>Decem</w:t>
      </w:r>
      <w:r>
        <w:rPr>
          <w:rFonts w:ascii="Times New Roman" w:eastAsia="Calibri" w:hAnsi="Times New Roman" w:cs="Times New Roman"/>
          <w:sz w:val="24"/>
          <w:szCs w:val="24"/>
        </w:rPr>
        <w:t>ber 3</w:t>
      </w:r>
      <w:r w:rsidR="0024339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 2006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3397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24339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43397">
        <w:rPr>
          <w:rFonts w:ascii="Times New Roman" w:hAnsi="Times New Roman"/>
          <w:sz w:val="24"/>
          <w:szCs w:val="24"/>
        </w:rPr>
        <w:t>137</w:t>
      </w:r>
    </w:p>
    <w:p w:rsidR="00FA5C4C" w:rsidRDefault="00FA5C4C" w:rsidP="00FA5C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43397">
        <w:rPr>
          <w:rFonts w:ascii="Times New Roman" w:hAnsi="Times New Roman"/>
          <w:sz w:val="24"/>
          <w:szCs w:val="24"/>
        </w:rPr>
        <w:t>Decem</w:t>
      </w:r>
      <w:r>
        <w:rPr>
          <w:rFonts w:ascii="Times New Roman" w:eastAsia="Calibri" w:hAnsi="Times New Roman" w:cs="Times New Roman"/>
          <w:sz w:val="24"/>
          <w:szCs w:val="24"/>
        </w:rPr>
        <w:t>ber 31, 2005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43397">
        <w:rPr>
          <w:rFonts w:ascii="Times New Roman" w:hAnsi="Times New Roman"/>
          <w:sz w:val="24"/>
          <w:szCs w:val="24"/>
        </w:rPr>
        <w:t xml:space="preserve"> 32,562</w:t>
      </w:r>
    </w:p>
    <w:p w:rsidR="00B47AB7" w:rsidRDefault="00B47AB7" w:rsidP="00FA5C4C">
      <w:pPr>
        <w:rPr>
          <w:rFonts w:ascii="Times New Roman" w:hAnsi="Times New Roman"/>
          <w:sz w:val="24"/>
          <w:szCs w:val="24"/>
        </w:rPr>
      </w:pPr>
    </w:p>
    <w:p w:rsidR="00FA5C4C" w:rsidRDefault="00B47AB7" w:rsidP="00FA5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B47AB7" w:rsidRDefault="00B47AB7" w:rsidP="00B47A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accounts receivable turnover ratios for Coca-Cola and PepsiCo for 2008.</w:t>
      </w:r>
    </w:p>
    <w:p w:rsidR="00B47AB7" w:rsidRDefault="00B47AB7" w:rsidP="00B47A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average collective period, in days, for both companies for 2006. Comment on the reasonableness of the collection periods for these companies considering the nature of their business.</w:t>
      </w:r>
    </w:p>
    <w:p w:rsidR="00B47AB7" w:rsidRPr="00B47AB7" w:rsidRDefault="00B47AB7" w:rsidP="00B47A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company appears to be performing better? What other information should you consider in determining how these companies are performing?</w:t>
      </w:r>
    </w:p>
    <w:p w:rsidR="00243397" w:rsidRDefault="00243397" w:rsidP="00FA5C4C">
      <w:pPr>
        <w:rPr>
          <w:rFonts w:ascii="Times New Roman" w:hAnsi="Times New Roman"/>
          <w:sz w:val="24"/>
          <w:szCs w:val="24"/>
        </w:rPr>
      </w:pPr>
    </w:p>
    <w:p w:rsidR="00292BA3" w:rsidRDefault="00292BA3" w:rsidP="00FA5C4C">
      <w:pPr>
        <w:rPr>
          <w:rFonts w:ascii="Times New Roman" w:hAnsi="Times New Roman"/>
          <w:b/>
          <w:sz w:val="24"/>
          <w:szCs w:val="24"/>
        </w:rPr>
      </w:pPr>
      <w:r w:rsidRPr="00292BA3">
        <w:rPr>
          <w:rFonts w:ascii="Times New Roman" w:hAnsi="Times New Roman"/>
          <w:b/>
          <w:sz w:val="24"/>
          <w:szCs w:val="24"/>
        </w:rPr>
        <w:t xml:space="preserve">Problem 7-7 </w:t>
      </w:r>
      <w:proofErr w:type="gramStart"/>
      <w:r w:rsidRPr="00292BA3">
        <w:rPr>
          <w:rFonts w:ascii="Times New Roman" w:hAnsi="Times New Roman"/>
          <w:b/>
          <w:sz w:val="24"/>
          <w:szCs w:val="24"/>
        </w:rPr>
        <w:t>Effects</w:t>
      </w:r>
      <w:proofErr w:type="gramEnd"/>
      <w:r w:rsidRPr="00292BA3">
        <w:rPr>
          <w:rFonts w:ascii="Times New Roman" w:hAnsi="Times New Roman"/>
          <w:b/>
          <w:sz w:val="24"/>
          <w:szCs w:val="24"/>
        </w:rPr>
        <w:t xml:space="preserve"> of Changes in Receivable Balances on Statement of Cash Flows</w:t>
      </w:r>
    </w:p>
    <w:p w:rsidR="00292BA3" w:rsidRDefault="00292BA3" w:rsidP="00FA5C4C">
      <w:pPr>
        <w:rPr>
          <w:rFonts w:ascii="Times New Roman" w:hAnsi="Times New Roman"/>
          <w:sz w:val="24"/>
          <w:szCs w:val="24"/>
        </w:rPr>
      </w:pPr>
      <w:proofErr w:type="spellStart"/>
      <w:r w:rsidRPr="00292BA3">
        <w:rPr>
          <w:rFonts w:ascii="Times New Roman" w:hAnsi="Times New Roman"/>
          <w:sz w:val="24"/>
          <w:szCs w:val="24"/>
        </w:rPr>
        <w:t>Stegner</w:t>
      </w:r>
      <w:proofErr w:type="spellEnd"/>
      <w:r w:rsidRPr="00292BA3">
        <w:rPr>
          <w:rFonts w:ascii="Times New Roman" w:hAnsi="Times New Roman"/>
          <w:sz w:val="24"/>
          <w:szCs w:val="24"/>
        </w:rPr>
        <w:t xml:space="preserve"> Inc. reported net</w:t>
      </w:r>
      <w:r>
        <w:rPr>
          <w:rFonts w:ascii="Times New Roman" w:hAnsi="Times New Roman"/>
          <w:sz w:val="24"/>
          <w:szCs w:val="24"/>
        </w:rPr>
        <w:t xml:space="preserve"> income of $130,000 for the year ended December 31, 2008. The following items were included on </w:t>
      </w:r>
      <w:proofErr w:type="spellStart"/>
      <w:r>
        <w:rPr>
          <w:rFonts w:ascii="Times New Roman" w:hAnsi="Times New Roman"/>
          <w:sz w:val="24"/>
          <w:szCs w:val="24"/>
        </w:rPr>
        <w:t>Stegner’s</w:t>
      </w:r>
      <w:proofErr w:type="spellEnd"/>
      <w:r>
        <w:rPr>
          <w:rFonts w:ascii="Times New Roman" w:hAnsi="Times New Roman"/>
          <w:sz w:val="24"/>
          <w:szCs w:val="24"/>
        </w:rPr>
        <w:t xml:space="preserve"> balance sheets at December 31, 2008 and 2007:</w:t>
      </w:r>
    </w:p>
    <w:p w:rsidR="00292BA3" w:rsidRDefault="00292BA3" w:rsidP="00292BA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12/31/08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12/31/07</w:t>
      </w:r>
    </w:p>
    <w:p w:rsidR="00292BA3" w:rsidRDefault="00292BA3" w:rsidP="00292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$105,000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$110,000</w:t>
      </w:r>
    </w:p>
    <w:p w:rsidR="00292BA3" w:rsidRDefault="00292BA3" w:rsidP="00292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receivables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223,000 </w:t>
      </w:r>
      <w:r>
        <w:rPr>
          <w:rFonts w:ascii="Times New Roman" w:hAnsi="Times New Roman"/>
          <w:sz w:val="24"/>
          <w:szCs w:val="24"/>
        </w:rPr>
        <w:tab/>
        <w:t xml:space="preserve">                    83,000</w:t>
      </w:r>
    </w:p>
    <w:p w:rsidR="00292BA3" w:rsidRDefault="00292BA3" w:rsidP="00292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 receivables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99,000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100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</w:p>
    <w:p w:rsidR="00292BA3" w:rsidRDefault="00292BA3" w:rsidP="00292BA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Stegner</w:t>
      </w:r>
      <w:proofErr w:type="spellEnd"/>
      <w:r>
        <w:rPr>
          <w:rFonts w:ascii="Times New Roman" w:hAnsi="Times New Roman"/>
          <w:sz w:val="24"/>
          <w:szCs w:val="24"/>
        </w:rPr>
        <w:t xml:space="preserve"> uses the indirect method to prepare its statement of cash flows. </w:t>
      </w:r>
      <w:proofErr w:type="spellStart"/>
      <w:r>
        <w:rPr>
          <w:rFonts w:ascii="Times New Roman" w:hAnsi="Times New Roman"/>
          <w:sz w:val="24"/>
          <w:szCs w:val="24"/>
        </w:rPr>
        <w:t>Stegner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 have any other current assets or current liabilities and did not enter into any investing or financing activities during 2008.</w:t>
      </w:r>
    </w:p>
    <w:p w:rsidR="00292BA3" w:rsidRDefault="00292BA3" w:rsidP="00292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Required:</w:t>
      </w:r>
    </w:p>
    <w:p w:rsidR="00292BA3" w:rsidRDefault="00292BA3" w:rsidP="00292BA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/>
          <w:sz w:val="24"/>
          <w:szCs w:val="24"/>
        </w:rPr>
        <w:t>Stegner’s</w:t>
      </w:r>
      <w:proofErr w:type="spellEnd"/>
      <w:r>
        <w:rPr>
          <w:rFonts w:ascii="Times New Roman" w:hAnsi="Times New Roman"/>
          <w:sz w:val="24"/>
          <w:szCs w:val="24"/>
        </w:rPr>
        <w:t xml:space="preserve"> 2008 statement of cash flows.</w:t>
      </w:r>
    </w:p>
    <w:p w:rsidR="00292BA3" w:rsidRPr="00292BA3" w:rsidRDefault="00292BA3" w:rsidP="00292BA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cash decreased during a profitable year.</w:t>
      </w:r>
    </w:p>
    <w:sectPr w:rsidR="00292BA3" w:rsidRPr="00292BA3" w:rsidSect="00DD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6CB"/>
    <w:multiLevelType w:val="hybridMultilevel"/>
    <w:tmpl w:val="9CD8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35A8"/>
    <w:multiLevelType w:val="hybridMultilevel"/>
    <w:tmpl w:val="96D6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9AA"/>
    <w:multiLevelType w:val="hybridMultilevel"/>
    <w:tmpl w:val="BCC4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C4C"/>
    <w:rsid w:val="00243397"/>
    <w:rsid w:val="00292BA3"/>
    <w:rsid w:val="00B47AB7"/>
    <w:rsid w:val="00DD1F55"/>
    <w:rsid w:val="00FA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Dabneys</dc:creator>
  <cp:lastModifiedBy>Dabneys</cp:lastModifiedBy>
  <cp:revision>1</cp:revision>
  <dcterms:created xsi:type="dcterms:W3CDTF">2010-12-10T05:03:00Z</dcterms:created>
  <dcterms:modified xsi:type="dcterms:W3CDTF">2010-12-10T05:46:00Z</dcterms:modified>
</cp:coreProperties>
</file>